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5BD16">
      <w:pPr>
        <w:jc w:val="center"/>
        <w:rPr>
          <w:rFonts w:hint="eastAsia" w:ascii="宋体" w:hAnsi="宋体" w:eastAsia="宋体" w:cs="宋体"/>
          <w:b/>
          <w:bCs/>
          <w:sz w:val="32"/>
          <w:szCs w:val="32"/>
          <w:lang w:val="en-US"/>
        </w:rPr>
      </w:pPr>
      <w:r>
        <w:rPr>
          <w:rFonts w:hint="eastAsia" w:ascii="宋体" w:hAnsi="宋体" w:eastAsia="宋体" w:cs="宋体"/>
          <w:b/>
          <w:bCs/>
          <w:sz w:val="32"/>
          <w:szCs w:val="32"/>
        </w:rPr>
        <w:t>湖南省湘澧盐化有限责任公司</w:t>
      </w:r>
      <w:r>
        <w:rPr>
          <w:rFonts w:hint="eastAsia" w:ascii="宋体" w:hAnsi="宋体" w:eastAsia="宋体" w:cs="宋体"/>
          <w:b/>
          <w:bCs/>
          <w:color w:val="auto"/>
          <w:sz w:val="32"/>
          <w:szCs w:val="32"/>
          <w:highlight w:val="none"/>
          <w:lang w:eastAsia="zh-CN"/>
        </w:rPr>
        <w:t>2026年度运输项目（第二次）</w:t>
      </w:r>
      <w:r>
        <w:rPr>
          <w:rFonts w:hint="eastAsia" w:ascii="宋体" w:hAnsi="宋体" w:eastAsia="宋体" w:cs="宋体"/>
          <w:b/>
          <w:bCs/>
          <w:color w:val="auto"/>
          <w:sz w:val="32"/>
          <w:szCs w:val="32"/>
          <w:highlight w:val="none"/>
          <w:lang w:val="en-US" w:eastAsia="zh-CN"/>
        </w:rPr>
        <w:t>中标候选人公示</w:t>
      </w:r>
    </w:p>
    <w:p w14:paraId="4733E814">
      <w:pPr>
        <w:ind w:firstLine="560" w:firstLineChars="200"/>
        <w:rPr>
          <w:rFonts w:hint="eastAsia"/>
          <w:sz w:val="28"/>
          <w:szCs w:val="28"/>
        </w:rPr>
      </w:pPr>
      <w:r>
        <w:rPr>
          <w:rFonts w:hint="eastAsia"/>
          <w:sz w:val="28"/>
          <w:szCs w:val="28"/>
        </w:rPr>
        <w:t>根据招标投标相关法律法规及招标文件的规定，湖南省湘澧盐化有限责任公司</w:t>
      </w:r>
      <w:r>
        <w:rPr>
          <w:rFonts w:hint="eastAsia" w:ascii="宋体" w:hAnsi="宋体" w:eastAsia="宋体" w:cs="宋体"/>
          <w:color w:val="auto"/>
          <w:sz w:val="28"/>
          <w:szCs w:val="28"/>
          <w:highlight w:val="none"/>
          <w:lang w:eastAsia="zh-CN"/>
        </w:rPr>
        <w:t>2026年度运输项目（第二次）</w:t>
      </w:r>
      <w:r>
        <w:rPr>
          <w:rFonts w:hint="eastAsia"/>
          <w:sz w:val="28"/>
          <w:szCs w:val="28"/>
        </w:rPr>
        <w:t>评标工作于202</w:t>
      </w:r>
      <w:r>
        <w:rPr>
          <w:rFonts w:hint="eastAsia"/>
          <w:sz w:val="28"/>
          <w:szCs w:val="28"/>
          <w:lang w:val="en-US" w:eastAsia="zh-CN"/>
        </w:rPr>
        <w:t>6</w:t>
      </w:r>
      <w:r>
        <w:rPr>
          <w:rFonts w:hint="eastAsia"/>
          <w:sz w:val="28"/>
          <w:szCs w:val="28"/>
        </w:rPr>
        <w:t>年0</w:t>
      </w:r>
      <w:r>
        <w:rPr>
          <w:rFonts w:hint="eastAsia"/>
          <w:sz w:val="28"/>
          <w:szCs w:val="28"/>
          <w:lang w:val="en-US" w:eastAsia="zh-CN"/>
        </w:rPr>
        <w:t>4</w:t>
      </w:r>
      <w:r>
        <w:rPr>
          <w:rFonts w:hint="eastAsia"/>
          <w:sz w:val="28"/>
          <w:szCs w:val="28"/>
        </w:rPr>
        <w:t>月</w:t>
      </w:r>
      <w:r>
        <w:rPr>
          <w:rFonts w:hint="eastAsia"/>
          <w:sz w:val="28"/>
          <w:szCs w:val="28"/>
          <w:lang w:val="en-US" w:eastAsia="zh-CN"/>
        </w:rPr>
        <w:t>21</w:t>
      </w:r>
      <w:r>
        <w:rPr>
          <w:rFonts w:hint="eastAsia"/>
          <w:sz w:val="28"/>
          <w:szCs w:val="28"/>
        </w:rPr>
        <w:t>日结束，本项目评标办法采用“综合评分法”，评标委员会推荐了以下3名排序的中标候选人，现将相关信息公示如下。</w:t>
      </w:r>
    </w:p>
    <w:p w14:paraId="69F67862">
      <w:pPr>
        <w:jc w:val="both"/>
        <w:rPr>
          <w:rFonts w:hint="eastAsia"/>
          <w:b/>
          <w:bCs/>
          <w:sz w:val="28"/>
          <w:szCs w:val="28"/>
        </w:rPr>
      </w:pPr>
      <w:r>
        <w:rPr>
          <w:rFonts w:hint="eastAsia"/>
          <w:b/>
          <w:bCs/>
          <w:sz w:val="28"/>
          <w:szCs w:val="28"/>
          <w:lang w:val="en-US" w:eastAsia="zh-CN"/>
        </w:rPr>
        <w:t>一、</w:t>
      </w:r>
      <w:r>
        <w:rPr>
          <w:rFonts w:hint="eastAsia"/>
          <w:b/>
          <w:bCs/>
          <w:sz w:val="28"/>
          <w:szCs w:val="28"/>
        </w:rPr>
        <w:t>中标候选人</w:t>
      </w:r>
    </w:p>
    <w:p w14:paraId="18BE1614">
      <w:pPr>
        <w:rPr>
          <w:rFonts w:hint="eastAsia"/>
          <w:sz w:val="28"/>
          <w:szCs w:val="28"/>
          <w:lang w:val="en-US" w:eastAsia="zh-CN"/>
        </w:rPr>
      </w:pPr>
      <w:r>
        <w:rPr>
          <w:rFonts w:hint="eastAsia"/>
          <w:sz w:val="28"/>
          <w:szCs w:val="28"/>
          <w:lang w:val="en-US" w:eastAsia="zh-CN"/>
        </w:rPr>
        <w:t>标段1：</w:t>
      </w:r>
    </w:p>
    <w:tbl>
      <w:tblPr>
        <w:tblStyle w:val="2"/>
        <w:tblW w:w="85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26"/>
        <w:gridCol w:w="2920"/>
        <w:gridCol w:w="1461"/>
        <w:gridCol w:w="2104"/>
      </w:tblGrid>
      <w:tr w14:paraId="2CD9F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1" w:hRule="atLeast"/>
          <w:jc w:val="center"/>
        </w:trPr>
        <w:tc>
          <w:tcPr>
            <w:tcW w:w="2026" w:type="dxa"/>
            <w:tcBorders>
              <w:top w:val="single" w:color="000000" w:sz="8" w:space="0"/>
              <w:left w:val="single" w:color="000000" w:sz="8" w:space="0"/>
              <w:bottom w:val="single" w:color="000000" w:sz="8" w:space="0"/>
              <w:right w:val="single" w:color="000000" w:sz="8" w:space="0"/>
            </w:tcBorders>
            <w:shd w:val="clear" w:color="auto" w:fill="FFFFFF"/>
            <w:tcMar>
              <w:top w:w="150" w:type="dxa"/>
              <w:left w:w="56" w:type="dxa"/>
              <w:bottom w:w="150" w:type="dxa"/>
              <w:right w:w="150" w:type="dxa"/>
            </w:tcMar>
            <w:vAlign w:val="center"/>
          </w:tcPr>
          <w:p w14:paraId="1E06B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w:t>
            </w:r>
          </w:p>
        </w:tc>
        <w:tc>
          <w:tcPr>
            <w:tcW w:w="2920"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63D8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461"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6B4B1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得分</w:t>
            </w:r>
          </w:p>
        </w:tc>
        <w:tc>
          <w:tcPr>
            <w:tcW w:w="2104"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7BB14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投标报价（元）</w:t>
            </w:r>
          </w:p>
        </w:tc>
      </w:tr>
      <w:tr w14:paraId="093AE3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6FA4C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第一中标候选人</w:t>
            </w:r>
          </w:p>
        </w:tc>
        <w:tc>
          <w:tcPr>
            <w:tcW w:w="2920"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1AEAAA39">
            <w:pPr>
              <w:spacing w:line="240" w:lineRule="atLeas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津市宏运物流有限公司</w:t>
            </w:r>
          </w:p>
        </w:tc>
        <w:tc>
          <w:tcPr>
            <w:tcW w:w="1461"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7370A0C0">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96.71</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28ADAA78">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9144000.00</w:t>
            </w:r>
          </w:p>
        </w:tc>
      </w:tr>
      <w:tr w14:paraId="6E4F6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8"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6F232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第二中标候选人</w:t>
            </w:r>
          </w:p>
        </w:tc>
        <w:tc>
          <w:tcPr>
            <w:tcW w:w="2920"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2EC2DEB1">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常德平畅运输有限公司</w:t>
            </w:r>
          </w:p>
        </w:tc>
        <w:tc>
          <w:tcPr>
            <w:tcW w:w="1461"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07F2A8D4">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90.34</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0C422415">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9152000.00</w:t>
            </w:r>
          </w:p>
        </w:tc>
      </w:tr>
      <w:tr w14:paraId="03BC0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7BC2D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第三中标候选人</w:t>
            </w:r>
          </w:p>
        </w:tc>
        <w:tc>
          <w:tcPr>
            <w:tcW w:w="2920"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01630BFC">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常德腾宏供应链有限公司</w:t>
            </w:r>
          </w:p>
        </w:tc>
        <w:tc>
          <w:tcPr>
            <w:tcW w:w="1461"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CE4265E">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88.12</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035F633">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9160000.00</w:t>
            </w:r>
          </w:p>
        </w:tc>
      </w:tr>
    </w:tbl>
    <w:p w14:paraId="7712E7D9">
      <w:pPr>
        <w:rPr>
          <w:rFonts w:hint="eastAsia"/>
          <w:sz w:val="28"/>
          <w:szCs w:val="28"/>
          <w:lang w:val="en-US" w:eastAsia="zh-CN"/>
        </w:rPr>
      </w:pPr>
      <w:r>
        <w:rPr>
          <w:rFonts w:hint="eastAsia"/>
          <w:sz w:val="28"/>
          <w:szCs w:val="28"/>
          <w:lang w:val="en-US" w:eastAsia="zh-CN"/>
        </w:rPr>
        <w:t>标段2：</w:t>
      </w:r>
    </w:p>
    <w:tbl>
      <w:tblPr>
        <w:tblStyle w:val="2"/>
        <w:tblW w:w="85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26"/>
        <w:gridCol w:w="2934"/>
        <w:gridCol w:w="1447"/>
        <w:gridCol w:w="2104"/>
      </w:tblGrid>
      <w:tr w14:paraId="036B5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1" w:hRule="atLeast"/>
          <w:jc w:val="center"/>
        </w:trPr>
        <w:tc>
          <w:tcPr>
            <w:tcW w:w="2026" w:type="dxa"/>
            <w:tcBorders>
              <w:top w:val="single" w:color="000000" w:sz="8" w:space="0"/>
              <w:left w:val="single" w:color="000000" w:sz="8" w:space="0"/>
              <w:bottom w:val="single" w:color="000000" w:sz="8" w:space="0"/>
              <w:right w:val="single" w:color="000000" w:sz="8" w:space="0"/>
            </w:tcBorders>
            <w:shd w:val="clear" w:color="auto" w:fill="FFFFFF"/>
            <w:tcMar>
              <w:top w:w="150" w:type="dxa"/>
              <w:left w:w="56" w:type="dxa"/>
              <w:bottom w:w="150" w:type="dxa"/>
              <w:right w:w="150" w:type="dxa"/>
            </w:tcMar>
            <w:vAlign w:val="center"/>
          </w:tcPr>
          <w:p w14:paraId="23E07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w:t>
            </w:r>
          </w:p>
        </w:tc>
        <w:tc>
          <w:tcPr>
            <w:tcW w:w="2934"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6E3A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447"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4B0EC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得分</w:t>
            </w:r>
          </w:p>
        </w:tc>
        <w:tc>
          <w:tcPr>
            <w:tcW w:w="2104"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DF92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投标报价（元）</w:t>
            </w:r>
          </w:p>
        </w:tc>
      </w:tr>
      <w:tr w14:paraId="63825C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338A0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第一中标候选人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75E34C81">
            <w:pPr>
              <w:spacing w:line="240" w:lineRule="atLeas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津市市顺达运输有限责任公司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4C08A5F">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90.00</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9FAA285">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294000</w:t>
            </w:r>
            <w:r>
              <w:rPr>
                <w:rFonts w:hint="eastAsia" w:ascii="宋体" w:hAnsi="宋体" w:eastAsia="宋体" w:cs="宋体"/>
                <w:i w:val="0"/>
                <w:iCs w:val="0"/>
                <w:caps w:val="0"/>
                <w:spacing w:val="0"/>
                <w:sz w:val="24"/>
                <w:szCs w:val="24"/>
                <w:shd w:val="clear" w:color="auto" w:fill="FFFFFF"/>
                <w:lang w:val="en-US" w:eastAsia="zh-CN"/>
              </w:rPr>
              <w:t>.00</w:t>
            </w:r>
          </w:p>
        </w:tc>
      </w:tr>
      <w:tr w14:paraId="0138A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8"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12C7C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第二中标候选人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6564E28B">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津市宏运物流有限公司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6276645B">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86.53</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523386D">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300000</w:t>
            </w:r>
            <w:r>
              <w:rPr>
                <w:rFonts w:hint="eastAsia" w:ascii="宋体" w:hAnsi="宋体" w:eastAsia="宋体" w:cs="宋体"/>
                <w:i w:val="0"/>
                <w:iCs w:val="0"/>
                <w:caps w:val="0"/>
                <w:spacing w:val="0"/>
                <w:sz w:val="24"/>
                <w:szCs w:val="24"/>
                <w:shd w:val="clear" w:color="auto" w:fill="FFFFFF"/>
                <w:lang w:val="en-US" w:eastAsia="zh-CN"/>
              </w:rPr>
              <w:t>.00</w:t>
            </w:r>
          </w:p>
        </w:tc>
      </w:tr>
      <w:tr w14:paraId="16B1A7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5A479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第三中标候选人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2BA1C1CF">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常德盐关道路运输有限公司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02A29710">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82.04</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1D2ED1D8">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298500</w:t>
            </w:r>
            <w:r>
              <w:rPr>
                <w:rFonts w:hint="eastAsia" w:ascii="宋体" w:hAnsi="宋体" w:eastAsia="宋体" w:cs="宋体"/>
                <w:i w:val="0"/>
                <w:iCs w:val="0"/>
                <w:caps w:val="0"/>
                <w:spacing w:val="0"/>
                <w:sz w:val="24"/>
                <w:szCs w:val="24"/>
                <w:shd w:val="clear" w:color="auto" w:fill="FFFFFF"/>
                <w:lang w:val="en-US" w:eastAsia="zh-CN"/>
              </w:rPr>
              <w:t>.00</w:t>
            </w:r>
          </w:p>
        </w:tc>
      </w:tr>
    </w:tbl>
    <w:p w14:paraId="1546DFA5">
      <w:pPr>
        <w:rPr>
          <w:rFonts w:hint="eastAsia"/>
          <w:sz w:val="28"/>
          <w:szCs w:val="28"/>
          <w:lang w:val="en-US" w:eastAsia="zh-CN"/>
        </w:rPr>
      </w:pPr>
      <w:r>
        <w:rPr>
          <w:rFonts w:hint="eastAsia"/>
          <w:sz w:val="28"/>
          <w:szCs w:val="28"/>
          <w:lang w:val="en-US" w:eastAsia="zh-CN"/>
        </w:rPr>
        <w:t>标段4:</w:t>
      </w:r>
    </w:p>
    <w:tbl>
      <w:tblPr>
        <w:tblStyle w:val="2"/>
        <w:tblW w:w="85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26"/>
        <w:gridCol w:w="2934"/>
        <w:gridCol w:w="1447"/>
        <w:gridCol w:w="2104"/>
      </w:tblGrid>
      <w:tr w14:paraId="66C038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1" w:hRule="atLeast"/>
          <w:jc w:val="center"/>
        </w:trPr>
        <w:tc>
          <w:tcPr>
            <w:tcW w:w="2026" w:type="dxa"/>
            <w:tcBorders>
              <w:top w:val="single" w:color="000000" w:sz="8" w:space="0"/>
              <w:left w:val="single" w:color="000000" w:sz="8" w:space="0"/>
              <w:bottom w:val="single" w:color="000000" w:sz="8" w:space="0"/>
              <w:right w:val="single" w:color="000000" w:sz="8" w:space="0"/>
            </w:tcBorders>
            <w:shd w:val="clear" w:color="auto" w:fill="FFFFFF"/>
            <w:tcMar>
              <w:top w:w="150" w:type="dxa"/>
              <w:left w:w="56" w:type="dxa"/>
              <w:bottom w:w="150" w:type="dxa"/>
              <w:right w:w="150" w:type="dxa"/>
            </w:tcMar>
            <w:vAlign w:val="center"/>
          </w:tcPr>
          <w:p w14:paraId="1CCA5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w:t>
            </w:r>
          </w:p>
        </w:tc>
        <w:tc>
          <w:tcPr>
            <w:tcW w:w="2934"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D694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447"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E19D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得分</w:t>
            </w:r>
          </w:p>
        </w:tc>
        <w:tc>
          <w:tcPr>
            <w:tcW w:w="2104" w:type="dxa"/>
            <w:tcBorders>
              <w:top w:val="single" w:color="auto" w:sz="8" w:space="0"/>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4E86B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投标报价（元）</w:t>
            </w:r>
          </w:p>
        </w:tc>
      </w:tr>
      <w:tr w14:paraId="7CFCD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113A6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第一中标候选人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577D1DA">
            <w:pPr>
              <w:spacing w:line="240" w:lineRule="atLeas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广州市致诚物流有限公司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022A6D68">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88.14</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E4428D5">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744000</w:t>
            </w:r>
            <w:r>
              <w:rPr>
                <w:rFonts w:hint="eastAsia" w:ascii="宋体" w:hAnsi="宋体" w:eastAsia="宋体" w:cs="宋体"/>
                <w:i w:val="0"/>
                <w:iCs w:val="0"/>
                <w:caps w:val="0"/>
                <w:spacing w:val="0"/>
                <w:sz w:val="24"/>
                <w:szCs w:val="24"/>
                <w:shd w:val="clear" w:color="auto" w:fill="FFFFFF"/>
                <w:lang w:val="en-US" w:eastAsia="zh-CN"/>
              </w:rPr>
              <w:t>.00</w:t>
            </w:r>
          </w:p>
        </w:tc>
      </w:tr>
      <w:tr w14:paraId="50A512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8"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025B0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第二中标候选人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D361371">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鸿骋物流（广州）有限公司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2E19379F">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84.97</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3677D807">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748500</w:t>
            </w:r>
            <w:r>
              <w:rPr>
                <w:rFonts w:hint="eastAsia" w:ascii="宋体" w:hAnsi="宋体" w:eastAsia="宋体" w:cs="宋体"/>
                <w:i w:val="0"/>
                <w:iCs w:val="0"/>
                <w:caps w:val="0"/>
                <w:spacing w:val="0"/>
                <w:sz w:val="24"/>
                <w:szCs w:val="24"/>
                <w:shd w:val="clear" w:color="auto" w:fill="FFFFFF"/>
                <w:lang w:val="en-US" w:eastAsia="zh-CN"/>
              </w:rPr>
              <w:t>.00</w:t>
            </w:r>
          </w:p>
        </w:tc>
      </w:tr>
      <w:tr w14:paraId="2D9DB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 w:hRule="atLeast"/>
          <w:jc w:val="center"/>
        </w:trPr>
        <w:tc>
          <w:tcPr>
            <w:tcW w:w="2026" w:type="dxa"/>
            <w:tcBorders>
              <w:top w:val="nil"/>
              <w:left w:val="single" w:color="auto" w:sz="8" w:space="0"/>
              <w:bottom w:val="single" w:color="auto" w:sz="8" w:space="0"/>
              <w:right w:val="single" w:color="auto" w:sz="8" w:space="0"/>
            </w:tcBorders>
            <w:shd w:val="clear" w:color="auto" w:fill="FFFFFF"/>
            <w:tcMar>
              <w:top w:w="150" w:type="dxa"/>
              <w:left w:w="56" w:type="dxa"/>
              <w:bottom w:w="150" w:type="dxa"/>
              <w:right w:w="150" w:type="dxa"/>
            </w:tcMar>
            <w:vAlign w:val="center"/>
          </w:tcPr>
          <w:p w14:paraId="515C7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sz w:val="24"/>
                <w:szCs w:val="24"/>
              </w:rPr>
            </w:pPr>
            <w:r>
              <w:rPr>
                <w:rFonts w:hint="eastAsia" w:ascii="宋体" w:hAnsi="宋体" w:eastAsia="宋体" w:cs="宋体"/>
                <w:i w:val="0"/>
                <w:iCs w:val="0"/>
                <w:caps w:val="0"/>
                <w:color w:val="000000"/>
                <w:spacing w:val="0"/>
                <w:kern w:val="0"/>
                <w:sz w:val="24"/>
                <w:szCs w:val="24"/>
                <w:lang w:val="en-US" w:eastAsia="zh-CN" w:bidi="ar"/>
              </w:rPr>
              <w:t>第三中标候选人</w:t>
            </w:r>
          </w:p>
        </w:tc>
        <w:tc>
          <w:tcPr>
            <w:tcW w:w="293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5D2B08C1">
            <w:pPr>
              <w:spacing w:line="240" w:lineRule="atLeast"/>
              <w:jc w:val="center"/>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广州市锦诚物流咨询有限公司</w:t>
            </w:r>
          </w:p>
        </w:tc>
        <w:tc>
          <w:tcPr>
            <w:tcW w:w="1447"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17E8AC79">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lang w:val="en-US" w:eastAsia="zh-CN"/>
              </w:rPr>
              <w:t>82.74</w:t>
            </w:r>
          </w:p>
        </w:tc>
        <w:tc>
          <w:tcPr>
            <w:tcW w:w="2104" w:type="dxa"/>
            <w:tcBorders>
              <w:top w:val="nil"/>
              <w:left w:val="nil"/>
              <w:bottom w:val="single" w:color="auto" w:sz="8" w:space="0"/>
              <w:right w:val="single" w:color="auto" w:sz="8" w:space="0"/>
            </w:tcBorders>
            <w:shd w:val="clear" w:color="auto" w:fill="FFFFFF"/>
            <w:tcMar>
              <w:top w:w="150" w:type="dxa"/>
              <w:left w:w="56" w:type="dxa"/>
              <w:bottom w:w="150" w:type="dxa"/>
              <w:right w:w="150" w:type="dxa"/>
            </w:tcMar>
            <w:vAlign w:val="center"/>
          </w:tcPr>
          <w:p w14:paraId="4E0366CA">
            <w:pPr>
              <w:spacing w:line="240" w:lineRule="atLeast"/>
              <w:jc w:val="center"/>
              <w:rPr>
                <w:rFonts w:hint="default" w:ascii="宋体" w:hAnsi="宋体" w:eastAsia="宋体" w:cs="宋体"/>
                <w:i w:val="0"/>
                <w:iCs w:val="0"/>
                <w:caps w:val="0"/>
                <w:spacing w:val="0"/>
                <w:sz w:val="24"/>
                <w:szCs w:val="24"/>
                <w:shd w:val="clear" w:color="auto" w:fill="FFFFFF"/>
                <w:lang w:val="en-US" w:eastAsia="zh-CN"/>
              </w:rPr>
            </w:pPr>
            <w:r>
              <w:rPr>
                <w:rFonts w:hint="default" w:ascii="宋体" w:hAnsi="宋体" w:eastAsia="宋体" w:cs="宋体"/>
                <w:i w:val="0"/>
                <w:iCs w:val="0"/>
                <w:caps w:val="0"/>
                <w:spacing w:val="0"/>
                <w:sz w:val="24"/>
                <w:szCs w:val="24"/>
                <w:shd w:val="clear" w:color="auto" w:fill="FFFFFF"/>
                <w:lang w:val="en-US" w:eastAsia="zh-CN"/>
              </w:rPr>
              <w:t>747000</w:t>
            </w:r>
            <w:r>
              <w:rPr>
                <w:rFonts w:hint="eastAsia" w:ascii="宋体" w:hAnsi="宋体" w:eastAsia="宋体" w:cs="宋体"/>
                <w:i w:val="0"/>
                <w:iCs w:val="0"/>
                <w:caps w:val="0"/>
                <w:spacing w:val="0"/>
                <w:sz w:val="24"/>
                <w:szCs w:val="24"/>
                <w:shd w:val="clear" w:color="auto" w:fill="FFFFFF"/>
                <w:lang w:val="en-US" w:eastAsia="zh-CN"/>
              </w:rPr>
              <w:t>.00</w:t>
            </w:r>
          </w:p>
        </w:tc>
      </w:tr>
    </w:tbl>
    <w:p w14:paraId="7D719D3B">
      <w:pPr>
        <w:rPr>
          <w:rFonts w:hint="eastAsia"/>
          <w:b/>
          <w:bCs/>
          <w:sz w:val="28"/>
          <w:szCs w:val="28"/>
        </w:rPr>
      </w:pPr>
      <w:r>
        <w:rPr>
          <w:rFonts w:hint="eastAsia"/>
          <w:b/>
          <w:bCs/>
          <w:sz w:val="28"/>
          <w:szCs w:val="28"/>
        </w:rPr>
        <w:t>二、否决投标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28"/>
        <w:gridCol w:w="3438"/>
        <w:gridCol w:w="3556"/>
      </w:tblGrid>
      <w:tr w14:paraId="022C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8" w:hRule="atLeast"/>
        </w:trPr>
        <w:tc>
          <w:tcPr>
            <w:tcW w:w="1528" w:type="dxa"/>
          </w:tcPr>
          <w:p w14:paraId="00BF0E08">
            <w:pPr>
              <w:spacing w:line="240" w:lineRule="atLeas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序号</w:t>
            </w:r>
          </w:p>
        </w:tc>
        <w:tc>
          <w:tcPr>
            <w:tcW w:w="3438" w:type="dxa"/>
          </w:tcPr>
          <w:p w14:paraId="6F419C38">
            <w:pPr>
              <w:spacing w:line="240" w:lineRule="atLeas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投标人</w:t>
            </w:r>
          </w:p>
        </w:tc>
        <w:tc>
          <w:tcPr>
            <w:tcW w:w="3556" w:type="dxa"/>
          </w:tcPr>
          <w:p w14:paraId="44790B7A">
            <w:pPr>
              <w:spacing w:line="240" w:lineRule="atLeas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否决投标原因</w:t>
            </w:r>
          </w:p>
        </w:tc>
      </w:tr>
      <w:tr w14:paraId="44DF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8" w:hRule="atLeast"/>
        </w:trPr>
        <w:tc>
          <w:tcPr>
            <w:tcW w:w="1528" w:type="dxa"/>
            <w:vAlign w:val="center"/>
          </w:tcPr>
          <w:p w14:paraId="5BA505FC">
            <w:pPr>
              <w:spacing w:line="240" w:lineRule="atLeas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w:t>
            </w:r>
          </w:p>
        </w:tc>
        <w:tc>
          <w:tcPr>
            <w:tcW w:w="3438" w:type="dxa"/>
            <w:vAlign w:val="center"/>
          </w:tcPr>
          <w:p w14:paraId="3BC56299">
            <w:pPr>
              <w:spacing w:line="240" w:lineRule="atLeas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w:t>
            </w:r>
          </w:p>
        </w:tc>
        <w:tc>
          <w:tcPr>
            <w:tcW w:w="3556" w:type="dxa"/>
            <w:vAlign w:val="center"/>
          </w:tcPr>
          <w:p w14:paraId="60A196A4">
            <w:pPr>
              <w:spacing w:line="240" w:lineRule="atLeas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w:t>
            </w:r>
          </w:p>
        </w:tc>
      </w:tr>
    </w:tbl>
    <w:p w14:paraId="54A75B67">
      <w:pPr>
        <w:rPr>
          <w:rFonts w:hint="eastAsia"/>
          <w:b/>
          <w:bCs/>
          <w:sz w:val="28"/>
          <w:szCs w:val="28"/>
        </w:rPr>
      </w:pPr>
      <w:r>
        <w:rPr>
          <w:rFonts w:hint="eastAsia"/>
          <w:b/>
          <w:bCs/>
          <w:sz w:val="28"/>
          <w:szCs w:val="28"/>
        </w:rPr>
        <w:t>三、评标小组名单</w:t>
      </w:r>
    </w:p>
    <w:p w14:paraId="2913D725">
      <w:pPr>
        <w:rPr>
          <w:rFonts w:hint="eastAsia"/>
          <w:sz w:val="28"/>
          <w:szCs w:val="28"/>
        </w:rPr>
      </w:pPr>
      <w:r>
        <w:rPr>
          <w:rFonts w:hint="eastAsia"/>
          <w:sz w:val="28"/>
          <w:szCs w:val="28"/>
          <w:lang w:val="en-US" w:eastAsia="zh-CN"/>
        </w:rPr>
        <w:t>彭峰</w:t>
      </w:r>
      <w:r>
        <w:rPr>
          <w:rFonts w:hint="eastAsia"/>
          <w:sz w:val="28"/>
          <w:szCs w:val="28"/>
        </w:rPr>
        <w:t>（主任评委）、李</w:t>
      </w:r>
      <w:r>
        <w:rPr>
          <w:rFonts w:hint="eastAsia"/>
          <w:sz w:val="28"/>
          <w:szCs w:val="28"/>
          <w:lang w:val="en-US" w:eastAsia="zh-CN"/>
        </w:rPr>
        <w:t>梦</w:t>
      </w:r>
      <w:r>
        <w:rPr>
          <w:rFonts w:hint="eastAsia"/>
          <w:sz w:val="28"/>
          <w:szCs w:val="28"/>
          <w:lang w:val="en-US" w:eastAsia="zh-CN"/>
        </w:rPr>
        <w:t>婷、毛成辉、李峰、</w:t>
      </w:r>
      <w:r>
        <w:rPr>
          <w:rFonts w:hint="eastAsia"/>
          <w:sz w:val="28"/>
          <w:szCs w:val="28"/>
          <w:lang w:val="en-US" w:eastAsia="zh-CN"/>
        </w:rPr>
        <w:t>蒋志超、严瑞稀、</w:t>
      </w:r>
      <w:r>
        <w:rPr>
          <w:rFonts w:hint="eastAsia"/>
          <w:sz w:val="28"/>
          <w:szCs w:val="28"/>
        </w:rPr>
        <w:t>吴欢（业主评委）</w:t>
      </w:r>
    </w:p>
    <w:p w14:paraId="75C6E064">
      <w:pPr>
        <w:rPr>
          <w:rFonts w:hint="eastAsia"/>
          <w:sz w:val="28"/>
          <w:szCs w:val="28"/>
        </w:rPr>
      </w:pPr>
      <w:r>
        <w:rPr>
          <w:rFonts w:hint="eastAsia"/>
          <w:b/>
          <w:bCs/>
          <w:sz w:val="28"/>
          <w:szCs w:val="28"/>
        </w:rPr>
        <w:t>四、公示期：3日</w:t>
      </w:r>
    </w:p>
    <w:p w14:paraId="400D17D9">
      <w:pPr>
        <w:rPr>
          <w:rFonts w:hint="eastAsia"/>
          <w:b/>
          <w:bCs/>
          <w:sz w:val="28"/>
          <w:szCs w:val="28"/>
        </w:rPr>
      </w:pPr>
      <w:r>
        <w:rPr>
          <w:rFonts w:hint="eastAsia"/>
          <w:b/>
          <w:bCs/>
          <w:sz w:val="28"/>
          <w:szCs w:val="28"/>
        </w:rPr>
        <w:t>五、公示期间招标人受理投标人或者其他利害关系人有单位公章和个人署名的、对评标结果提出的异议。公示期满对中标候选人若无异议，招标人将确定第一中标候选人为该项目的中标人。</w:t>
      </w:r>
    </w:p>
    <w:p w14:paraId="75A85AC0">
      <w:pPr>
        <w:rPr>
          <w:rFonts w:hint="eastAsia"/>
          <w:b/>
          <w:bCs/>
          <w:sz w:val="28"/>
          <w:szCs w:val="28"/>
        </w:rPr>
      </w:pPr>
      <w:r>
        <w:rPr>
          <w:rFonts w:hint="eastAsia"/>
          <w:b/>
          <w:bCs/>
          <w:sz w:val="28"/>
          <w:szCs w:val="28"/>
        </w:rPr>
        <w:t>六、联系方式</w:t>
      </w:r>
    </w:p>
    <w:p w14:paraId="5B561AB6">
      <w:pPr>
        <w:rPr>
          <w:rFonts w:hint="eastAsia"/>
          <w:sz w:val="28"/>
          <w:szCs w:val="28"/>
        </w:rPr>
      </w:pPr>
      <w:r>
        <w:rPr>
          <w:rFonts w:hint="eastAsia"/>
          <w:sz w:val="28"/>
          <w:szCs w:val="28"/>
        </w:rPr>
        <w:t>招 标 人：湖南省湘澧盐化有限责任公司</w:t>
      </w:r>
    </w:p>
    <w:p w14:paraId="57335037">
      <w:pPr>
        <w:rPr>
          <w:rFonts w:hint="eastAsia"/>
          <w:sz w:val="28"/>
          <w:szCs w:val="28"/>
        </w:rPr>
      </w:pPr>
      <w:r>
        <w:rPr>
          <w:rFonts w:hint="eastAsia"/>
          <w:sz w:val="28"/>
          <w:szCs w:val="28"/>
        </w:rPr>
        <w:t>地 址：常德市津市市襄阳街办事处盐矿社区</w:t>
      </w:r>
    </w:p>
    <w:p w14:paraId="4AD529AF">
      <w:pPr>
        <w:rPr>
          <w:rFonts w:hint="eastAsia"/>
          <w:sz w:val="28"/>
          <w:szCs w:val="28"/>
        </w:rPr>
      </w:pPr>
      <w:r>
        <w:rPr>
          <w:rFonts w:hint="eastAsia"/>
          <w:sz w:val="28"/>
          <w:szCs w:val="28"/>
        </w:rPr>
        <w:t>联 系 人：涂焜</w:t>
      </w:r>
    </w:p>
    <w:p w14:paraId="10E0EB30">
      <w:pPr>
        <w:rPr>
          <w:rFonts w:hint="eastAsia"/>
          <w:sz w:val="28"/>
          <w:szCs w:val="28"/>
        </w:rPr>
      </w:pPr>
      <w:r>
        <w:rPr>
          <w:rFonts w:hint="eastAsia"/>
          <w:sz w:val="28"/>
          <w:szCs w:val="28"/>
        </w:rPr>
        <w:t>电 话：13974286333</w:t>
      </w:r>
    </w:p>
    <w:p w14:paraId="099686BC">
      <w:pPr>
        <w:rPr>
          <w:rFonts w:hint="default" w:eastAsiaTheme="minorEastAsia"/>
          <w:sz w:val="28"/>
          <w:szCs w:val="28"/>
          <w:lang w:val="en-US" w:eastAsia="zh-CN"/>
        </w:rPr>
      </w:pPr>
      <w:r>
        <w:rPr>
          <w:rFonts w:hint="eastAsia"/>
          <w:sz w:val="28"/>
          <w:szCs w:val="28"/>
        </w:rPr>
        <w:t>招标代理机构:</w:t>
      </w:r>
      <w:r>
        <w:rPr>
          <w:rFonts w:hint="eastAsia"/>
          <w:sz w:val="28"/>
          <w:szCs w:val="28"/>
          <w:lang w:val="en-US" w:eastAsia="zh-CN"/>
        </w:rPr>
        <w:t>湖南建科工程项目管理有限公司</w:t>
      </w:r>
    </w:p>
    <w:p w14:paraId="2D873558">
      <w:pPr>
        <w:pageBreakBefore w:val="0"/>
        <w:widowControl w:val="0"/>
        <w:kinsoku/>
        <w:wordWrap/>
        <w:overflowPunct/>
        <w:topLinePunct/>
        <w:autoSpaceDE/>
        <w:autoSpaceDN/>
        <w:bidi w:val="0"/>
        <w:adjustRightInd/>
        <w:snapToGrid/>
        <w:spacing w:line="360" w:lineRule="auto"/>
        <w:textAlignment w:val="auto"/>
        <w:outlineLvl w:val="0"/>
        <w:rPr>
          <w:rFonts w:hint="eastAsia"/>
          <w:sz w:val="28"/>
          <w:szCs w:val="28"/>
        </w:rPr>
      </w:pPr>
      <w:r>
        <w:rPr>
          <w:rFonts w:hint="eastAsia"/>
          <w:sz w:val="28"/>
          <w:szCs w:val="28"/>
        </w:rPr>
        <w:t>地 址：</w:t>
      </w:r>
      <w:r>
        <w:rPr>
          <w:rFonts w:hint="eastAsia"/>
          <w:sz w:val="28"/>
          <w:szCs w:val="28"/>
          <w:lang w:val="en-US" w:eastAsia="zh-CN"/>
        </w:rPr>
        <w:t>长沙县星沙街道东六路华润置地广场一期写字楼14楼1402</w:t>
      </w:r>
    </w:p>
    <w:p w14:paraId="652AB9F5">
      <w:pPr>
        <w:rPr>
          <w:rFonts w:hint="eastAsia"/>
          <w:sz w:val="28"/>
          <w:szCs w:val="28"/>
          <w:lang w:val="en-US" w:eastAsia="zh-CN"/>
        </w:rPr>
      </w:pPr>
      <w:r>
        <w:rPr>
          <w:rFonts w:hint="eastAsia"/>
          <w:sz w:val="28"/>
          <w:szCs w:val="28"/>
        </w:rPr>
        <w:t>联系人：</w:t>
      </w:r>
      <w:r>
        <w:rPr>
          <w:rFonts w:hint="eastAsia"/>
          <w:sz w:val="28"/>
          <w:szCs w:val="28"/>
          <w:lang w:val="en-US" w:eastAsia="zh-CN"/>
        </w:rPr>
        <w:t>陈宇婷、宋楚</w:t>
      </w:r>
    </w:p>
    <w:p w14:paraId="418B5EA6">
      <w:pPr>
        <w:rPr>
          <w:rFonts w:hint="default" w:eastAsiaTheme="minorEastAsia"/>
          <w:sz w:val="28"/>
          <w:szCs w:val="28"/>
          <w:lang w:val="en-US" w:eastAsia="zh-CN"/>
        </w:rPr>
      </w:pPr>
      <w:r>
        <w:rPr>
          <w:rFonts w:hint="eastAsia"/>
          <w:sz w:val="28"/>
          <w:szCs w:val="28"/>
        </w:rPr>
        <w:t>电话：</w:t>
      </w:r>
      <w:r>
        <w:rPr>
          <w:rFonts w:hint="eastAsia"/>
          <w:sz w:val="28"/>
          <w:szCs w:val="28"/>
          <w:lang w:val="en-US" w:eastAsia="zh-CN"/>
        </w:rPr>
        <w:t>0731-86244859</w:t>
      </w:r>
    </w:p>
    <w:p w14:paraId="54ED5182">
      <w:pPr>
        <w:rPr>
          <w:sz w:val="28"/>
          <w:szCs w:val="28"/>
        </w:rPr>
      </w:pPr>
      <w:r>
        <w:rPr>
          <w:rFonts w:hint="eastAsia"/>
          <w:sz w:val="28"/>
          <w:szCs w:val="28"/>
        </w:rPr>
        <w:t>邮箱：</w:t>
      </w:r>
      <w:r>
        <w:rPr>
          <w:rFonts w:hint="eastAsia"/>
          <w:sz w:val="28"/>
          <w:szCs w:val="28"/>
          <w:lang w:val="en-US" w:eastAsia="zh-CN"/>
        </w:rPr>
        <w:t>1852188201</w:t>
      </w:r>
      <w:r>
        <w:rPr>
          <w:rFonts w:hint="eastAsia"/>
          <w:sz w:val="28"/>
          <w:szCs w:val="28"/>
        </w:rPr>
        <w:t>@qq.com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D3DAB"/>
    <w:rsid w:val="5F8A2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2026-04-14T07:10:00Z</dcterms:created>
  <dc:creator>Administrator</dc:creator>
  <cp:lastModifiedBy>Administrator</cp:lastModifiedBy>
  <dcterms:modified xsi:type="dcterms:W3CDTF">2026-04-30T10:10:35Z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94467B2C4DBF4B1BA2649FBAE037D04D_12</vt:lpwstr>
  </property>
  <property fmtid="{D5CDD505-2E9C-101B-9397-08002B2CF9AE}" pid="4" name="KSOTemplateDocerSaveRecord">
    <vt:lpwstr>eyJoZGlkIjoiMDliOWMyMGZkYTZiMTc3NDhhNzIxMWY2MzZlN2I0OGEiLCJ1c2VySWQiOiI3NTgzODQwMjMifQ==</vt:lpwstr>
  </property>
</Properties>
</file>