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A045E">
      <w:pPr>
        <w:spacing w:line="360" w:lineRule="auto"/>
        <w:jc w:val="center"/>
        <w:rPr>
          <w:rFonts w:ascii="黑体" w:hAnsi="黑体" w:eastAsia="黑体" w:cs="宋体"/>
          <w:b/>
          <w:color w:val="000000"/>
          <w:kern w:val="0"/>
          <w:sz w:val="32"/>
          <w:szCs w:val="32"/>
        </w:rPr>
      </w:pPr>
    </w:p>
    <w:p w14:paraId="1D12C090">
      <w:pPr>
        <w:spacing w:line="360" w:lineRule="auto"/>
        <w:jc w:val="center"/>
        <w:rPr>
          <w:rFonts w:ascii="黑体" w:hAnsi="黑体" w:eastAsia="黑体" w:cs="宋体"/>
          <w:b/>
          <w:color w:val="000000"/>
          <w:kern w:val="0"/>
          <w:sz w:val="36"/>
          <w:szCs w:val="36"/>
        </w:rPr>
      </w:pPr>
      <w:r>
        <w:rPr>
          <w:rFonts w:hint="eastAsia" w:ascii="黑体" w:hAnsi="黑体" w:eastAsia="黑体" w:cs="宋体"/>
          <w:b/>
          <w:color w:val="000000"/>
          <w:w w:val="90"/>
          <w:kern w:val="0"/>
          <w:sz w:val="36"/>
          <w:szCs w:val="36"/>
        </w:rPr>
        <w:t>湖南省湘澧盐化有限责任公司</w:t>
      </w:r>
    </w:p>
    <w:p w14:paraId="5A410FC1">
      <w:pPr>
        <w:spacing w:line="360" w:lineRule="auto"/>
        <w:jc w:val="center"/>
        <w:rPr>
          <w:rFonts w:ascii="黑体" w:hAnsi="黑体" w:cs="宋体"/>
          <w:b/>
          <w:color w:val="000000"/>
          <w:kern w:val="0"/>
          <w:sz w:val="48"/>
          <w:szCs w:val="48"/>
        </w:rPr>
      </w:pPr>
      <w:r>
        <w:rPr>
          <w:rFonts w:hint="eastAsia"/>
          <w:sz w:val="48"/>
          <w:szCs w:val="48"/>
        </w:rPr>
        <w:t>生态盐气力输送仓顶布袋除尘器改造</w:t>
      </w:r>
    </w:p>
    <w:p w14:paraId="6D7BC268">
      <w:pPr>
        <w:spacing w:line="360" w:lineRule="auto"/>
        <w:jc w:val="center"/>
        <w:rPr>
          <w:rFonts w:ascii="黑体" w:hAnsi="黑体" w:eastAsia="黑体"/>
          <w:b/>
          <w:sz w:val="28"/>
          <w:szCs w:val="28"/>
        </w:rPr>
      </w:pPr>
    </w:p>
    <w:p w14:paraId="3FF999C4">
      <w:pPr>
        <w:rPr>
          <w:rFonts w:ascii="黑体" w:hAnsi="黑体" w:eastAsia="黑体"/>
          <w:b/>
          <w:sz w:val="44"/>
          <w:szCs w:val="44"/>
        </w:rPr>
      </w:pPr>
    </w:p>
    <w:p w14:paraId="6DF6B0EF">
      <w:pPr>
        <w:rPr>
          <w:rFonts w:ascii="黑体" w:hAnsi="黑体" w:eastAsia="黑体"/>
          <w:b/>
          <w:sz w:val="44"/>
          <w:szCs w:val="44"/>
        </w:rPr>
      </w:pPr>
    </w:p>
    <w:p w14:paraId="51EDD0FC">
      <w:pPr>
        <w:jc w:val="center"/>
        <w:rPr>
          <w:rFonts w:ascii="黑体" w:hAnsi="黑体" w:eastAsia="黑体"/>
          <w:b/>
          <w:sz w:val="44"/>
          <w:szCs w:val="44"/>
        </w:rPr>
      </w:pPr>
    </w:p>
    <w:p w14:paraId="71A940DB">
      <w:pPr>
        <w:jc w:val="center"/>
        <w:rPr>
          <w:rFonts w:ascii="黑体" w:hAnsi="黑体" w:eastAsia="黑体"/>
          <w:b/>
          <w:sz w:val="44"/>
          <w:szCs w:val="44"/>
        </w:rPr>
      </w:pPr>
    </w:p>
    <w:p w14:paraId="683D1AEF">
      <w:pPr>
        <w:jc w:val="center"/>
        <w:rPr>
          <w:rFonts w:ascii="黑体" w:hAnsi="黑体" w:eastAsia="黑体"/>
          <w:b/>
          <w:sz w:val="72"/>
          <w:szCs w:val="72"/>
        </w:rPr>
      </w:pPr>
      <w:r>
        <w:rPr>
          <w:rFonts w:hint="eastAsia" w:ascii="黑体" w:hAnsi="黑体" w:eastAsia="黑体"/>
          <w:b/>
          <w:sz w:val="72"/>
          <w:szCs w:val="72"/>
          <w:lang w:val="en-US" w:eastAsia="zh-CN"/>
        </w:rPr>
        <w:t>询价采购</w:t>
      </w:r>
      <w:r>
        <w:rPr>
          <w:rFonts w:hint="eastAsia" w:ascii="黑体" w:hAnsi="黑体" w:eastAsia="黑体"/>
          <w:b/>
          <w:sz w:val="72"/>
          <w:szCs w:val="72"/>
        </w:rPr>
        <w:t>文件</w:t>
      </w:r>
    </w:p>
    <w:p w14:paraId="58875291">
      <w:pPr>
        <w:jc w:val="center"/>
        <w:rPr>
          <w:rFonts w:ascii="黑体" w:hAnsi="黑体" w:eastAsia="黑体"/>
          <w:b/>
          <w:szCs w:val="21"/>
        </w:rPr>
      </w:pPr>
    </w:p>
    <w:p w14:paraId="690F7294">
      <w:pPr>
        <w:jc w:val="center"/>
        <w:rPr>
          <w:rFonts w:ascii="黑体" w:hAnsi="黑体" w:eastAsia="黑体"/>
          <w:b/>
          <w:szCs w:val="21"/>
        </w:rPr>
      </w:pPr>
    </w:p>
    <w:p w14:paraId="315DECF9">
      <w:pPr>
        <w:jc w:val="center"/>
        <w:rPr>
          <w:rFonts w:ascii="黑体" w:hAnsi="黑体" w:eastAsia="黑体"/>
          <w:b/>
          <w:szCs w:val="21"/>
        </w:rPr>
      </w:pPr>
    </w:p>
    <w:p w14:paraId="08BDC058">
      <w:pPr>
        <w:jc w:val="center"/>
        <w:rPr>
          <w:rFonts w:ascii="黑体" w:hAnsi="黑体" w:eastAsia="黑体"/>
          <w:b/>
          <w:szCs w:val="21"/>
        </w:rPr>
      </w:pPr>
    </w:p>
    <w:p w14:paraId="349D0369">
      <w:pPr>
        <w:jc w:val="center"/>
        <w:rPr>
          <w:rFonts w:ascii="黑体" w:hAnsi="黑体" w:eastAsia="黑体"/>
          <w:b/>
          <w:szCs w:val="21"/>
        </w:rPr>
      </w:pPr>
    </w:p>
    <w:p w14:paraId="49F4EE67">
      <w:pPr>
        <w:jc w:val="center"/>
        <w:rPr>
          <w:rFonts w:ascii="黑体" w:hAnsi="黑体" w:eastAsia="黑体"/>
          <w:b/>
          <w:szCs w:val="21"/>
        </w:rPr>
      </w:pPr>
    </w:p>
    <w:p w14:paraId="16D157F9">
      <w:pPr>
        <w:jc w:val="center"/>
        <w:rPr>
          <w:rFonts w:ascii="黑体" w:hAnsi="黑体" w:eastAsia="黑体"/>
          <w:b/>
          <w:szCs w:val="21"/>
        </w:rPr>
      </w:pPr>
    </w:p>
    <w:p w14:paraId="3E972C10">
      <w:pPr>
        <w:jc w:val="center"/>
        <w:rPr>
          <w:rFonts w:ascii="黑体" w:hAnsi="黑体" w:eastAsia="黑体"/>
          <w:b/>
          <w:szCs w:val="21"/>
        </w:rPr>
      </w:pPr>
    </w:p>
    <w:p w14:paraId="3E42BEA8">
      <w:pPr>
        <w:jc w:val="center"/>
        <w:rPr>
          <w:rFonts w:ascii="黑体" w:hAnsi="黑体" w:eastAsia="黑体"/>
          <w:b/>
          <w:szCs w:val="21"/>
        </w:rPr>
      </w:pPr>
    </w:p>
    <w:p w14:paraId="6A059344">
      <w:pPr>
        <w:jc w:val="center"/>
        <w:rPr>
          <w:rFonts w:ascii="黑体" w:hAnsi="黑体" w:eastAsia="黑体"/>
          <w:b/>
          <w:szCs w:val="21"/>
        </w:rPr>
      </w:pPr>
    </w:p>
    <w:p w14:paraId="1E48FF82">
      <w:pPr>
        <w:jc w:val="center"/>
        <w:rPr>
          <w:rFonts w:ascii="黑体" w:hAnsi="黑体" w:eastAsia="黑体"/>
          <w:b/>
          <w:szCs w:val="21"/>
        </w:rPr>
      </w:pPr>
    </w:p>
    <w:p w14:paraId="7D29E76A">
      <w:pPr>
        <w:jc w:val="center"/>
        <w:rPr>
          <w:rFonts w:ascii="黑体" w:hAnsi="黑体" w:eastAsia="黑体"/>
          <w:b/>
          <w:szCs w:val="21"/>
        </w:rPr>
      </w:pPr>
    </w:p>
    <w:p w14:paraId="53E38A4E">
      <w:pPr>
        <w:jc w:val="center"/>
        <w:rPr>
          <w:rFonts w:ascii="黑体" w:hAnsi="黑体" w:eastAsia="黑体"/>
          <w:b/>
          <w:szCs w:val="21"/>
        </w:rPr>
      </w:pPr>
    </w:p>
    <w:p w14:paraId="331CAEE7">
      <w:pPr>
        <w:jc w:val="center"/>
        <w:rPr>
          <w:rFonts w:ascii="黑体" w:hAnsi="黑体" w:eastAsia="黑体"/>
          <w:b/>
          <w:szCs w:val="21"/>
        </w:rPr>
      </w:pPr>
    </w:p>
    <w:p w14:paraId="42C02E9C">
      <w:pPr>
        <w:jc w:val="center"/>
        <w:rPr>
          <w:rFonts w:ascii="黑体" w:hAnsi="黑体" w:eastAsia="黑体"/>
          <w:b/>
          <w:szCs w:val="21"/>
        </w:rPr>
      </w:pPr>
    </w:p>
    <w:p w14:paraId="18820315">
      <w:pPr>
        <w:jc w:val="center"/>
        <w:rPr>
          <w:rFonts w:ascii="黑体" w:hAnsi="黑体" w:eastAsia="黑体"/>
          <w:b/>
          <w:szCs w:val="21"/>
        </w:rPr>
      </w:pPr>
    </w:p>
    <w:p w14:paraId="38E2DAF8">
      <w:pPr>
        <w:jc w:val="center"/>
        <w:rPr>
          <w:rFonts w:ascii="黑体" w:hAnsi="黑体" w:eastAsia="黑体"/>
          <w:b/>
          <w:szCs w:val="21"/>
        </w:rPr>
      </w:pPr>
    </w:p>
    <w:p w14:paraId="52D24D00">
      <w:pPr>
        <w:jc w:val="center"/>
        <w:rPr>
          <w:rFonts w:ascii="黑体" w:hAnsi="黑体" w:eastAsia="黑体"/>
          <w:b/>
          <w:szCs w:val="21"/>
        </w:rPr>
      </w:pPr>
    </w:p>
    <w:p w14:paraId="77CA7E61">
      <w:pPr>
        <w:jc w:val="center"/>
        <w:rPr>
          <w:rFonts w:ascii="黑体" w:hAnsi="黑体" w:eastAsia="黑体"/>
          <w:b/>
          <w:szCs w:val="21"/>
        </w:rPr>
      </w:pPr>
    </w:p>
    <w:p w14:paraId="4963A7DD">
      <w:pPr>
        <w:jc w:val="center"/>
        <w:rPr>
          <w:rFonts w:ascii="黑体" w:hAnsi="黑体" w:eastAsia="黑体"/>
          <w:b/>
          <w:szCs w:val="21"/>
        </w:rPr>
      </w:pPr>
    </w:p>
    <w:p w14:paraId="680BEE83">
      <w:pPr>
        <w:jc w:val="center"/>
        <w:rPr>
          <w:rFonts w:ascii="黑体" w:hAnsi="黑体" w:eastAsia="黑体"/>
          <w:b/>
          <w:sz w:val="28"/>
          <w:szCs w:val="28"/>
        </w:rPr>
      </w:pPr>
      <w:r>
        <w:rPr>
          <w:rFonts w:hint="eastAsia" w:ascii="黑体" w:hAnsi="黑体" w:eastAsia="黑体"/>
          <w:b/>
          <w:sz w:val="28"/>
          <w:szCs w:val="28"/>
        </w:rPr>
        <w:t>湖南省湘澧盐化有限责任公司</w:t>
      </w:r>
    </w:p>
    <w:p w14:paraId="753CDBC0">
      <w:pPr>
        <w:jc w:val="center"/>
        <w:rPr>
          <w:rFonts w:asciiTheme="minorEastAsia" w:hAnsiTheme="minorEastAsia" w:eastAsiaTheme="minorEastAsia"/>
          <w:b/>
          <w:sz w:val="28"/>
          <w:szCs w:val="28"/>
        </w:rPr>
      </w:pPr>
    </w:p>
    <w:p w14:paraId="451CCC24">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2024年</w:t>
      </w:r>
      <w:r>
        <w:rPr>
          <w:rFonts w:hint="eastAsia" w:asciiTheme="minorEastAsia" w:hAnsiTheme="minorEastAsia" w:eastAsiaTheme="minorEastAsia"/>
          <w:b/>
          <w:sz w:val="28"/>
          <w:szCs w:val="28"/>
          <w:lang w:val="en-US" w:eastAsia="zh-CN"/>
        </w:rPr>
        <w:t>1</w:t>
      </w:r>
      <w:r>
        <w:rPr>
          <w:rFonts w:hint="eastAsia" w:asciiTheme="minorEastAsia" w:hAnsiTheme="minorEastAsia" w:eastAsiaTheme="minorEastAsia"/>
          <w:b/>
          <w:sz w:val="28"/>
          <w:szCs w:val="28"/>
        </w:rPr>
        <w:t>2月5日</w:t>
      </w:r>
    </w:p>
    <w:p w14:paraId="6305E986">
      <w:pPr>
        <w:jc w:val="center"/>
        <w:rPr>
          <w:rFonts w:asciiTheme="minorEastAsia" w:hAnsiTheme="minorEastAsia" w:eastAsiaTheme="minorEastAsia"/>
          <w:sz w:val="28"/>
          <w:szCs w:val="28"/>
        </w:rPr>
      </w:pPr>
    </w:p>
    <w:p w14:paraId="6B24BF75">
      <w:pPr>
        <w:jc w:val="center"/>
        <w:rPr>
          <w:rFonts w:asciiTheme="minorEastAsia" w:hAnsiTheme="minorEastAsia" w:eastAsiaTheme="minorEastAsia"/>
          <w:sz w:val="28"/>
          <w:szCs w:val="28"/>
        </w:rPr>
      </w:pPr>
    </w:p>
    <w:p w14:paraId="5BB7B43E">
      <w:pPr>
        <w:jc w:val="center"/>
        <w:rPr>
          <w:rFonts w:asciiTheme="minorEastAsia" w:hAnsiTheme="minorEastAsia" w:eastAsiaTheme="minorEastAsia"/>
          <w:sz w:val="28"/>
          <w:szCs w:val="28"/>
        </w:rPr>
      </w:pPr>
    </w:p>
    <w:p w14:paraId="5AB1B1E3">
      <w:pPr>
        <w:rPr>
          <w:rFonts w:asciiTheme="minorEastAsia" w:hAnsiTheme="minorEastAsia" w:eastAsiaTheme="minorEastAsia"/>
          <w:sz w:val="28"/>
          <w:szCs w:val="28"/>
        </w:rPr>
      </w:pPr>
    </w:p>
    <w:p w14:paraId="41C6D6C4">
      <w:pPr>
        <w:jc w:val="center"/>
        <w:rPr>
          <w:rFonts w:asciiTheme="minorEastAsia" w:hAnsiTheme="minorEastAsia" w:eastAsiaTheme="minorEastAsia"/>
          <w:sz w:val="28"/>
          <w:szCs w:val="28"/>
        </w:rPr>
      </w:pPr>
    </w:p>
    <w:p w14:paraId="651D3498">
      <w:pPr>
        <w:rPr>
          <w:rFonts w:asciiTheme="minorEastAsia" w:hAnsiTheme="minorEastAsia" w:eastAsiaTheme="minorEastAsia"/>
          <w:sz w:val="28"/>
          <w:szCs w:val="28"/>
        </w:rPr>
      </w:pPr>
    </w:p>
    <w:p w14:paraId="7F295BB6">
      <w:pPr>
        <w:pStyle w:val="8"/>
        <w:jc w:val="center"/>
        <w:rPr>
          <w:rFonts w:ascii="方正小标宋_GBK" w:hAnsi="宋体" w:eastAsia="方正小标宋_GBK"/>
          <w:spacing w:val="160"/>
          <w:sz w:val="36"/>
          <w:szCs w:val="36"/>
        </w:rPr>
      </w:pPr>
      <w:r>
        <w:rPr>
          <w:rFonts w:hint="eastAsia" w:ascii="方正小标宋_GBK" w:hAnsi="宋体" w:eastAsia="方正小标宋_GBK"/>
          <w:spacing w:val="160"/>
          <w:sz w:val="36"/>
          <w:szCs w:val="36"/>
        </w:rPr>
        <w:t>目录</w:t>
      </w:r>
    </w:p>
    <w:p w14:paraId="76DA8F4E">
      <w:pPr>
        <w:pStyle w:val="8"/>
        <w:adjustRightInd w:val="0"/>
        <w:snapToGrid w:val="0"/>
        <w:spacing w:line="360" w:lineRule="auto"/>
        <w:rPr>
          <w:rFonts w:hAnsi="宋体"/>
          <w:b/>
          <w:sz w:val="24"/>
          <w:szCs w:val="24"/>
        </w:rPr>
      </w:pPr>
    </w:p>
    <w:p w14:paraId="5E633B62">
      <w:pPr>
        <w:pStyle w:val="8"/>
        <w:adjustRightInd w:val="0"/>
        <w:snapToGrid w:val="0"/>
        <w:spacing w:line="360" w:lineRule="auto"/>
        <w:rPr>
          <w:rFonts w:hAnsi="宋体"/>
          <w:b/>
          <w:sz w:val="24"/>
          <w:szCs w:val="24"/>
        </w:rPr>
      </w:pPr>
      <w:r>
        <w:rPr>
          <w:rFonts w:hint="eastAsia" w:hAnsi="宋体"/>
          <w:b/>
          <w:sz w:val="24"/>
          <w:szCs w:val="24"/>
        </w:rPr>
        <w:t>第一章  投标邀请</w:t>
      </w:r>
    </w:p>
    <w:p w14:paraId="2F85B829">
      <w:pPr>
        <w:pStyle w:val="8"/>
        <w:adjustRightInd w:val="0"/>
        <w:snapToGrid w:val="0"/>
        <w:spacing w:line="360" w:lineRule="auto"/>
        <w:rPr>
          <w:rFonts w:hAnsi="宋体"/>
          <w:b/>
          <w:sz w:val="24"/>
          <w:szCs w:val="24"/>
        </w:rPr>
      </w:pPr>
      <w:r>
        <w:rPr>
          <w:rFonts w:hint="eastAsia" w:hAnsi="宋体"/>
          <w:b/>
          <w:sz w:val="24"/>
          <w:szCs w:val="24"/>
        </w:rPr>
        <w:t>第二章  投标须知</w:t>
      </w:r>
    </w:p>
    <w:p w14:paraId="08101C20">
      <w:pPr>
        <w:adjustRightInd w:val="0"/>
        <w:snapToGrid w:val="0"/>
        <w:spacing w:line="360" w:lineRule="auto"/>
        <w:rPr>
          <w:rFonts w:ascii="宋体" w:hAnsi="宋体"/>
          <w:b/>
          <w:sz w:val="24"/>
        </w:rPr>
      </w:pPr>
      <w:r>
        <w:rPr>
          <w:rFonts w:hint="eastAsia" w:ascii="宋体" w:hAnsi="宋体"/>
          <w:b/>
          <w:sz w:val="24"/>
        </w:rPr>
        <w:t>第三章  评标办法</w:t>
      </w:r>
    </w:p>
    <w:p w14:paraId="23BE11EF">
      <w:pPr>
        <w:pStyle w:val="8"/>
        <w:adjustRightInd w:val="0"/>
        <w:snapToGrid w:val="0"/>
        <w:spacing w:line="360" w:lineRule="auto"/>
        <w:rPr>
          <w:rFonts w:hAnsi="宋体"/>
          <w:b/>
          <w:sz w:val="24"/>
          <w:szCs w:val="24"/>
        </w:rPr>
      </w:pPr>
      <w:r>
        <w:rPr>
          <w:rFonts w:hint="eastAsia" w:hAnsi="宋体"/>
          <w:b/>
          <w:sz w:val="24"/>
          <w:szCs w:val="24"/>
        </w:rPr>
        <w:t>第四章  合同条款</w:t>
      </w:r>
    </w:p>
    <w:p w14:paraId="7C1D1A13">
      <w:pPr>
        <w:autoSpaceDE w:val="0"/>
        <w:autoSpaceDN w:val="0"/>
        <w:adjustRightInd w:val="0"/>
        <w:snapToGrid w:val="0"/>
        <w:spacing w:line="360" w:lineRule="auto"/>
        <w:rPr>
          <w:rFonts w:ascii="宋体" w:hAnsi="宋体"/>
          <w:b/>
          <w:sz w:val="24"/>
        </w:rPr>
      </w:pPr>
      <w:r>
        <w:rPr>
          <w:rFonts w:hint="eastAsia" w:hAnsi="宋体"/>
          <w:b/>
          <w:sz w:val="24"/>
        </w:rPr>
        <w:t xml:space="preserve">第五章  </w:t>
      </w:r>
      <w:r>
        <w:rPr>
          <w:rFonts w:hint="eastAsia" w:ascii="宋体" w:hAnsi="宋体"/>
          <w:b/>
          <w:sz w:val="24"/>
        </w:rPr>
        <w:t>投标文件组成</w:t>
      </w:r>
    </w:p>
    <w:p w14:paraId="085FDE76">
      <w:pPr>
        <w:pStyle w:val="8"/>
        <w:adjustRightInd w:val="0"/>
        <w:snapToGrid w:val="0"/>
        <w:spacing w:line="360" w:lineRule="auto"/>
        <w:rPr>
          <w:rFonts w:hAnsi="宋体"/>
          <w:b/>
          <w:sz w:val="24"/>
          <w:szCs w:val="24"/>
        </w:rPr>
      </w:pPr>
      <w:r>
        <w:rPr>
          <w:rFonts w:hint="eastAsia" w:hAnsi="宋体"/>
          <w:b/>
          <w:sz w:val="24"/>
          <w:szCs w:val="24"/>
        </w:rPr>
        <w:t>第六章  技术规范书</w:t>
      </w:r>
    </w:p>
    <w:p w14:paraId="3B5906CB">
      <w:pPr>
        <w:autoSpaceDE w:val="0"/>
        <w:autoSpaceDN w:val="0"/>
        <w:adjustRightInd w:val="0"/>
        <w:snapToGrid w:val="0"/>
        <w:spacing w:line="360" w:lineRule="auto"/>
        <w:rPr>
          <w:rFonts w:ascii="宋体" w:hAnsi="宋体"/>
          <w:b/>
          <w:sz w:val="24"/>
        </w:rPr>
      </w:pPr>
    </w:p>
    <w:p w14:paraId="59E8D236">
      <w:pPr>
        <w:jc w:val="center"/>
        <w:rPr>
          <w:rFonts w:asciiTheme="minorEastAsia" w:hAnsiTheme="minorEastAsia" w:eastAsiaTheme="minorEastAsia"/>
          <w:sz w:val="28"/>
          <w:szCs w:val="28"/>
        </w:rPr>
      </w:pPr>
    </w:p>
    <w:p w14:paraId="46ACDE62">
      <w:pPr>
        <w:jc w:val="center"/>
        <w:rPr>
          <w:rFonts w:asciiTheme="minorEastAsia" w:hAnsiTheme="minorEastAsia" w:eastAsiaTheme="minorEastAsia"/>
          <w:sz w:val="28"/>
          <w:szCs w:val="28"/>
        </w:rPr>
      </w:pPr>
    </w:p>
    <w:p w14:paraId="56837A4F">
      <w:pPr>
        <w:jc w:val="center"/>
        <w:rPr>
          <w:rFonts w:asciiTheme="minorEastAsia" w:hAnsiTheme="minorEastAsia" w:eastAsiaTheme="minorEastAsia"/>
          <w:sz w:val="28"/>
          <w:szCs w:val="28"/>
        </w:rPr>
      </w:pPr>
    </w:p>
    <w:p w14:paraId="23D87FB5">
      <w:pPr>
        <w:jc w:val="center"/>
        <w:rPr>
          <w:rFonts w:asciiTheme="minorEastAsia" w:hAnsiTheme="minorEastAsia" w:eastAsiaTheme="minorEastAsia"/>
          <w:sz w:val="28"/>
          <w:szCs w:val="28"/>
        </w:rPr>
      </w:pPr>
    </w:p>
    <w:p w14:paraId="71B47F11">
      <w:pPr>
        <w:jc w:val="center"/>
        <w:rPr>
          <w:rFonts w:asciiTheme="minorEastAsia" w:hAnsiTheme="minorEastAsia" w:eastAsiaTheme="minorEastAsia"/>
          <w:sz w:val="28"/>
          <w:szCs w:val="28"/>
        </w:rPr>
      </w:pPr>
    </w:p>
    <w:p w14:paraId="66562422">
      <w:pPr>
        <w:jc w:val="center"/>
        <w:rPr>
          <w:rFonts w:asciiTheme="minorEastAsia" w:hAnsiTheme="minorEastAsia" w:eastAsiaTheme="minorEastAsia"/>
          <w:sz w:val="28"/>
          <w:szCs w:val="28"/>
        </w:rPr>
      </w:pPr>
    </w:p>
    <w:p w14:paraId="5CBD8605">
      <w:pPr>
        <w:jc w:val="center"/>
        <w:rPr>
          <w:rFonts w:asciiTheme="minorEastAsia" w:hAnsiTheme="minorEastAsia" w:eastAsiaTheme="minorEastAsia"/>
          <w:sz w:val="28"/>
          <w:szCs w:val="28"/>
        </w:rPr>
      </w:pPr>
    </w:p>
    <w:p w14:paraId="0D8AC476">
      <w:pPr>
        <w:jc w:val="center"/>
        <w:rPr>
          <w:rFonts w:asciiTheme="minorEastAsia" w:hAnsiTheme="minorEastAsia" w:eastAsiaTheme="minorEastAsia"/>
          <w:sz w:val="28"/>
          <w:szCs w:val="28"/>
        </w:rPr>
      </w:pPr>
    </w:p>
    <w:p w14:paraId="1EF4CA1F">
      <w:pPr>
        <w:jc w:val="center"/>
        <w:rPr>
          <w:rFonts w:asciiTheme="minorEastAsia" w:hAnsiTheme="minorEastAsia" w:eastAsiaTheme="minorEastAsia"/>
          <w:sz w:val="28"/>
          <w:szCs w:val="28"/>
        </w:rPr>
      </w:pPr>
    </w:p>
    <w:p w14:paraId="1D0C2E9E">
      <w:pPr>
        <w:jc w:val="center"/>
        <w:rPr>
          <w:rFonts w:asciiTheme="minorEastAsia" w:hAnsiTheme="minorEastAsia" w:eastAsiaTheme="minorEastAsia"/>
          <w:sz w:val="28"/>
          <w:szCs w:val="28"/>
        </w:rPr>
      </w:pPr>
    </w:p>
    <w:p w14:paraId="5C4C0E45">
      <w:pPr>
        <w:jc w:val="center"/>
        <w:rPr>
          <w:rFonts w:asciiTheme="minorEastAsia" w:hAnsiTheme="minorEastAsia" w:eastAsiaTheme="minorEastAsia"/>
          <w:sz w:val="28"/>
          <w:szCs w:val="28"/>
        </w:rPr>
      </w:pPr>
    </w:p>
    <w:p w14:paraId="5809D7E5">
      <w:pPr>
        <w:jc w:val="center"/>
        <w:rPr>
          <w:rFonts w:asciiTheme="minorEastAsia" w:hAnsiTheme="minorEastAsia" w:eastAsiaTheme="minorEastAsia"/>
          <w:sz w:val="28"/>
          <w:szCs w:val="28"/>
        </w:rPr>
      </w:pPr>
    </w:p>
    <w:p w14:paraId="17F9069E">
      <w:pPr>
        <w:jc w:val="center"/>
        <w:rPr>
          <w:rFonts w:asciiTheme="minorEastAsia" w:hAnsiTheme="minorEastAsia" w:eastAsiaTheme="minorEastAsia"/>
          <w:sz w:val="28"/>
          <w:szCs w:val="28"/>
        </w:rPr>
      </w:pPr>
    </w:p>
    <w:p w14:paraId="3B5E4F7F">
      <w:pPr>
        <w:jc w:val="center"/>
        <w:rPr>
          <w:rFonts w:asciiTheme="minorEastAsia" w:hAnsiTheme="minorEastAsia" w:eastAsiaTheme="minorEastAsia"/>
          <w:sz w:val="28"/>
          <w:szCs w:val="28"/>
        </w:rPr>
      </w:pPr>
    </w:p>
    <w:p w14:paraId="774F942A">
      <w:pPr>
        <w:jc w:val="center"/>
        <w:rPr>
          <w:rFonts w:asciiTheme="minorEastAsia" w:hAnsiTheme="minorEastAsia" w:eastAsiaTheme="minorEastAsia"/>
          <w:sz w:val="28"/>
          <w:szCs w:val="28"/>
        </w:rPr>
      </w:pPr>
    </w:p>
    <w:p w14:paraId="487117FC">
      <w:pPr>
        <w:jc w:val="center"/>
        <w:rPr>
          <w:rFonts w:asciiTheme="minorEastAsia" w:hAnsiTheme="minorEastAsia" w:eastAsiaTheme="minorEastAsia"/>
          <w:sz w:val="28"/>
          <w:szCs w:val="28"/>
        </w:rPr>
      </w:pPr>
    </w:p>
    <w:p w14:paraId="7309336C">
      <w:pPr>
        <w:jc w:val="center"/>
        <w:rPr>
          <w:rFonts w:asciiTheme="minorEastAsia" w:hAnsiTheme="minorEastAsia" w:eastAsiaTheme="minorEastAsia"/>
          <w:sz w:val="28"/>
          <w:szCs w:val="28"/>
        </w:rPr>
      </w:pPr>
    </w:p>
    <w:p w14:paraId="1A5B4613">
      <w:pPr>
        <w:jc w:val="center"/>
        <w:rPr>
          <w:rFonts w:asciiTheme="minorEastAsia" w:hAnsiTheme="minorEastAsia" w:eastAsiaTheme="minorEastAsia"/>
          <w:sz w:val="28"/>
          <w:szCs w:val="28"/>
        </w:rPr>
      </w:pPr>
    </w:p>
    <w:p w14:paraId="2693CB23">
      <w:pPr>
        <w:jc w:val="center"/>
        <w:rPr>
          <w:rFonts w:asciiTheme="minorEastAsia" w:hAnsiTheme="minorEastAsia" w:eastAsiaTheme="minorEastAsia"/>
          <w:sz w:val="28"/>
          <w:szCs w:val="28"/>
        </w:rPr>
      </w:pPr>
    </w:p>
    <w:p w14:paraId="2ED2A060">
      <w:pPr>
        <w:jc w:val="center"/>
        <w:rPr>
          <w:rFonts w:asciiTheme="minorEastAsia" w:hAnsiTheme="minorEastAsia" w:eastAsiaTheme="minorEastAsia"/>
          <w:sz w:val="28"/>
          <w:szCs w:val="28"/>
        </w:rPr>
      </w:pPr>
    </w:p>
    <w:p w14:paraId="7C82D8EB">
      <w:pPr>
        <w:jc w:val="center"/>
        <w:rPr>
          <w:rFonts w:asciiTheme="minorEastAsia" w:hAnsiTheme="minorEastAsia" w:eastAsiaTheme="minorEastAsia"/>
          <w:sz w:val="28"/>
          <w:szCs w:val="28"/>
        </w:rPr>
      </w:pPr>
    </w:p>
    <w:p w14:paraId="44318DE2">
      <w:pPr>
        <w:jc w:val="center"/>
        <w:rPr>
          <w:rFonts w:asciiTheme="minorEastAsia" w:hAnsiTheme="minorEastAsia" w:eastAsiaTheme="minorEastAsia"/>
          <w:sz w:val="28"/>
          <w:szCs w:val="28"/>
        </w:rPr>
      </w:pPr>
    </w:p>
    <w:p w14:paraId="679638F0">
      <w:pPr>
        <w:jc w:val="center"/>
        <w:rPr>
          <w:rFonts w:asciiTheme="minorEastAsia" w:hAnsiTheme="minorEastAsia" w:eastAsiaTheme="minorEastAsia"/>
          <w:sz w:val="28"/>
          <w:szCs w:val="28"/>
        </w:rPr>
      </w:pPr>
    </w:p>
    <w:p w14:paraId="4F684F8A">
      <w:pPr>
        <w:jc w:val="center"/>
        <w:rPr>
          <w:rFonts w:asciiTheme="minorEastAsia" w:hAnsiTheme="minorEastAsia" w:eastAsiaTheme="minorEastAsia"/>
          <w:sz w:val="28"/>
          <w:szCs w:val="28"/>
        </w:rPr>
      </w:pPr>
    </w:p>
    <w:p w14:paraId="55B682FC">
      <w:pPr>
        <w:jc w:val="center"/>
        <w:rPr>
          <w:rFonts w:asciiTheme="minorEastAsia" w:hAnsiTheme="minorEastAsia" w:eastAsiaTheme="minorEastAsia"/>
          <w:sz w:val="28"/>
          <w:szCs w:val="28"/>
        </w:rPr>
      </w:pPr>
    </w:p>
    <w:p w14:paraId="5425D3DC">
      <w:pPr>
        <w:jc w:val="center"/>
        <w:rPr>
          <w:rFonts w:asciiTheme="minorEastAsia" w:hAnsiTheme="minorEastAsia" w:eastAsiaTheme="minorEastAsia"/>
          <w:sz w:val="28"/>
          <w:szCs w:val="28"/>
        </w:rPr>
      </w:pPr>
    </w:p>
    <w:p w14:paraId="5373750C">
      <w:pPr>
        <w:rPr>
          <w:rFonts w:asciiTheme="minorEastAsia" w:hAnsiTheme="minorEastAsia" w:eastAsiaTheme="minorEastAsia"/>
          <w:sz w:val="28"/>
          <w:szCs w:val="28"/>
        </w:rPr>
      </w:pPr>
    </w:p>
    <w:p w14:paraId="73A4B529">
      <w:pPr>
        <w:pStyle w:val="2"/>
        <w:rPr>
          <w:rFonts w:asciiTheme="majorEastAsia" w:hAnsiTheme="majorEastAsia" w:eastAsiaTheme="majorEastAsia"/>
          <w:sz w:val="44"/>
          <w:szCs w:val="44"/>
        </w:rPr>
      </w:pPr>
      <w:r>
        <w:rPr>
          <w:rFonts w:asciiTheme="majorEastAsia" w:hAnsiTheme="majorEastAsia" w:eastAsiaTheme="majorEastAsia"/>
          <w:sz w:val="44"/>
          <w:szCs w:val="44"/>
        </w:rPr>
        <w:t>投标邀请</w:t>
      </w:r>
    </w:p>
    <w:p w14:paraId="1DCF7440">
      <w:pPr>
        <w:rPr>
          <w:lang w:val="zh-CN" w:bidi="zh-CN"/>
        </w:rPr>
      </w:pPr>
    </w:p>
    <w:p w14:paraId="6346DBE2">
      <w:pPr>
        <w:spacing w:line="480" w:lineRule="exact"/>
        <w:jc w:val="center"/>
        <w:rPr>
          <w:sz w:val="24"/>
        </w:rPr>
      </w:pPr>
      <w:r>
        <w:rPr>
          <w:rFonts w:hint="eastAsia"/>
          <w:sz w:val="24"/>
        </w:rPr>
        <w:t xml:space="preserve">      湖南省湘澧盐化有限责任公司</w:t>
      </w:r>
      <w:r>
        <w:rPr>
          <w:rFonts w:hint="eastAsia" w:ascii="宋体" w:cs="宋体"/>
          <w:bCs/>
          <w:color w:val="000000"/>
          <w:sz w:val="24"/>
        </w:rPr>
        <w:t>生态盐气力输送仓顶布袋除尘器改造</w:t>
      </w:r>
      <w:r>
        <w:rPr>
          <w:sz w:val="24"/>
        </w:rPr>
        <w:t>进行</w:t>
      </w:r>
      <w:r>
        <w:rPr>
          <w:rFonts w:hint="eastAsia"/>
          <w:sz w:val="24"/>
          <w:lang w:val="en-US" w:eastAsia="zh-CN"/>
        </w:rPr>
        <w:t>询价采购</w:t>
      </w:r>
      <w:r>
        <w:rPr>
          <w:sz w:val="24"/>
        </w:rPr>
        <w:t>，资金来自企业自筹</w:t>
      </w:r>
      <w:r>
        <w:rPr>
          <w:spacing w:val="-2"/>
          <w:sz w:val="24"/>
        </w:rPr>
        <w:t>，资金来源已经落实，欢迎满足资质</w:t>
      </w:r>
      <w:r>
        <w:rPr>
          <w:sz w:val="24"/>
        </w:rPr>
        <w:t>条件的潜在投标人前来投标。</w:t>
      </w:r>
    </w:p>
    <w:p w14:paraId="7E633777">
      <w:pPr>
        <w:spacing w:line="480" w:lineRule="exact"/>
        <w:ind w:right="454"/>
        <w:rPr>
          <w:b/>
          <w:sz w:val="28"/>
          <w:szCs w:val="28"/>
        </w:rPr>
      </w:pPr>
      <w:r>
        <w:rPr>
          <w:rFonts w:hint="eastAsia"/>
          <w:b/>
          <w:sz w:val="28"/>
          <w:szCs w:val="28"/>
        </w:rPr>
        <w:t>1、</w:t>
      </w:r>
      <w:r>
        <w:rPr>
          <w:b/>
          <w:sz w:val="28"/>
          <w:szCs w:val="28"/>
        </w:rPr>
        <w:t>项目概况与招标范围</w:t>
      </w:r>
    </w:p>
    <w:p w14:paraId="26522670">
      <w:pPr>
        <w:spacing w:line="480" w:lineRule="exact"/>
        <w:ind w:right="454"/>
        <w:rPr>
          <w:sz w:val="30"/>
        </w:rPr>
      </w:pPr>
      <w:r>
        <w:rPr>
          <w:rFonts w:hint="eastAsia"/>
          <w:sz w:val="24"/>
        </w:rPr>
        <w:t>（1）</w:t>
      </w:r>
      <w:r>
        <w:rPr>
          <w:sz w:val="24"/>
        </w:rPr>
        <w:t>货物名称：</w:t>
      </w:r>
      <w:r>
        <w:rPr>
          <w:rFonts w:hint="eastAsia"/>
          <w:sz w:val="24"/>
        </w:rPr>
        <w:t>湖南省湘澧盐化有限责任公司</w:t>
      </w:r>
      <w:r>
        <w:rPr>
          <w:rFonts w:hint="eastAsia" w:ascii="宋体" w:cs="宋体"/>
          <w:bCs/>
          <w:color w:val="000000"/>
          <w:sz w:val="24"/>
        </w:rPr>
        <w:t>生态盐气力输送仓顶布袋除尘器</w:t>
      </w:r>
      <w:r>
        <w:rPr>
          <w:sz w:val="24"/>
        </w:rPr>
        <w:t>项目</w:t>
      </w:r>
      <w:r>
        <w:rPr>
          <w:rFonts w:hint="eastAsia"/>
          <w:sz w:val="24"/>
        </w:rPr>
        <w:t>相关设备</w:t>
      </w:r>
      <w:r>
        <w:rPr>
          <w:rFonts w:hint="eastAsia"/>
          <w:sz w:val="24"/>
          <w:lang w:val="en-US" w:eastAsia="zh-CN"/>
        </w:rPr>
        <w:t>询价</w:t>
      </w:r>
      <w:r>
        <w:rPr>
          <w:rFonts w:hint="eastAsia"/>
          <w:sz w:val="24"/>
        </w:rPr>
        <w:t>采购</w:t>
      </w:r>
      <w:r>
        <w:rPr>
          <w:rFonts w:hint="eastAsia"/>
          <w:sz w:val="24"/>
          <w:lang w:eastAsia="zh-CN"/>
        </w:rPr>
        <w:t>（</w:t>
      </w:r>
      <w:r>
        <w:rPr>
          <w:rFonts w:hint="eastAsia"/>
          <w:sz w:val="24"/>
          <w:lang w:val="en-US" w:eastAsia="zh-CN"/>
        </w:rPr>
        <w:t>包含运输、安装及调试）</w:t>
      </w:r>
      <w:r>
        <w:rPr>
          <w:rFonts w:hint="eastAsia"/>
          <w:sz w:val="24"/>
        </w:rPr>
        <w:t>。</w:t>
      </w:r>
    </w:p>
    <w:p w14:paraId="44710BDB">
      <w:pPr>
        <w:spacing w:line="480" w:lineRule="exact"/>
        <w:ind w:right="454"/>
        <w:rPr>
          <w:sz w:val="30"/>
        </w:rPr>
      </w:pPr>
      <w:r>
        <w:rPr>
          <w:rFonts w:hint="eastAsia"/>
          <w:sz w:val="24"/>
        </w:rPr>
        <w:t>（2）</w:t>
      </w:r>
      <w:r>
        <w:rPr>
          <w:sz w:val="24"/>
        </w:rPr>
        <w:t>数</w:t>
      </w:r>
      <w:r>
        <w:rPr>
          <w:sz w:val="24"/>
        </w:rPr>
        <w:tab/>
      </w:r>
      <w:r>
        <w:rPr>
          <w:sz w:val="24"/>
        </w:rPr>
        <w:t xml:space="preserve">量： </w:t>
      </w:r>
      <w:r>
        <w:rPr>
          <w:rFonts w:hint="eastAsia"/>
          <w:sz w:val="24"/>
        </w:rPr>
        <w:t>烧结板除尘器1套</w:t>
      </w:r>
    </w:p>
    <w:p w14:paraId="2F098FA8">
      <w:pPr>
        <w:spacing w:before="67" w:line="480" w:lineRule="exact"/>
        <w:ind w:right="454"/>
        <w:rPr>
          <w:sz w:val="24"/>
        </w:rPr>
      </w:pPr>
      <w:r>
        <w:rPr>
          <w:rFonts w:hint="eastAsia"/>
          <w:sz w:val="24"/>
        </w:rPr>
        <w:t>（3）</w:t>
      </w:r>
      <w:r>
        <w:rPr>
          <w:sz w:val="24"/>
        </w:rPr>
        <w:t>主要技术规格/参数：详见招标文件技术规格及要求</w:t>
      </w:r>
    </w:p>
    <w:p w14:paraId="7DEF2580">
      <w:pPr>
        <w:spacing w:before="67" w:line="480" w:lineRule="exact"/>
        <w:ind w:right="454"/>
        <w:rPr>
          <w:sz w:val="24"/>
        </w:rPr>
      </w:pPr>
      <w:r>
        <w:rPr>
          <w:rFonts w:hint="eastAsia"/>
          <w:sz w:val="24"/>
        </w:rPr>
        <w:t>（4）</w:t>
      </w:r>
      <w:r>
        <w:rPr>
          <w:sz w:val="24"/>
        </w:rPr>
        <w:t>交货期：</w:t>
      </w:r>
      <w:r>
        <w:rPr>
          <w:rFonts w:hint="eastAsia"/>
          <w:sz w:val="24"/>
        </w:rPr>
        <w:t xml:space="preserve"> </w:t>
      </w:r>
      <w:r>
        <w:rPr>
          <w:rFonts w:hint="eastAsia"/>
          <w:sz w:val="24"/>
          <w:lang w:val="en-US" w:eastAsia="zh-CN"/>
        </w:rPr>
        <w:t>45</w:t>
      </w:r>
      <w:r>
        <w:rPr>
          <w:sz w:val="24"/>
        </w:rPr>
        <w:t>日历天</w:t>
      </w:r>
    </w:p>
    <w:p w14:paraId="5CEF6E7F">
      <w:pPr>
        <w:spacing w:before="66" w:line="480" w:lineRule="exact"/>
        <w:ind w:right="454"/>
        <w:rPr>
          <w:sz w:val="24"/>
        </w:rPr>
      </w:pPr>
      <w:r>
        <w:rPr>
          <w:rFonts w:hint="eastAsia"/>
          <w:sz w:val="24"/>
        </w:rPr>
        <w:t>（5）</w:t>
      </w:r>
      <w:r>
        <w:rPr>
          <w:sz w:val="24"/>
        </w:rPr>
        <w:t>交货地点：津市市盐矿社区湘澧盐化</w:t>
      </w:r>
      <w:r>
        <w:rPr>
          <w:rFonts w:hint="eastAsia"/>
          <w:sz w:val="24"/>
        </w:rPr>
        <w:t>包装厂</w:t>
      </w:r>
    </w:p>
    <w:p w14:paraId="1379B85B">
      <w:pPr>
        <w:spacing w:line="480" w:lineRule="exact"/>
        <w:ind w:right="454"/>
        <w:rPr>
          <w:b/>
          <w:sz w:val="28"/>
          <w:szCs w:val="28"/>
        </w:rPr>
      </w:pPr>
      <w:r>
        <w:rPr>
          <w:rFonts w:hint="eastAsia"/>
          <w:b/>
          <w:sz w:val="28"/>
          <w:szCs w:val="28"/>
        </w:rPr>
        <w:t>2、</w:t>
      </w:r>
      <w:r>
        <w:rPr>
          <w:b/>
          <w:sz w:val="28"/>
          <w:szCs w:val="28"/>
        </w:rPr>
        <w:t>投标人资格要求</w:t>
      </w:r>
    </w:p>
    <w:p w14:paraId="2AC8093B">
      <w:pPr>
        <w:pStyle w:val="22"/>
        <w:spacing w:before="58" w:line="480" w:lineRule="exact"/>
        <w:ind w:left="0" w:right="454" w:firstLine="0"/>
        <w:rPr>
          <w:sz w:val="30"/>
        </w:rPr>
      </w:pPr>
      <w:r>
        <w:rPr>
          <w:rFonts w:hint="eastAsia"/>
          <w:sz w:val="24"/>
        </w:rPr>
        <w:t>（1）</w:t>
      </w:r>
      <w:r>
        <w:rPr>
          <w:sz w:val="24"/>
        </w:rPr>
        <w:t>投标主体要求：必须具备独立的法人资格，企业财务状况良好，且有固定营业场所；</w:t>
      </w:r>
    </w:p>
    <w:p w14:paraId="413DDB8B">
      <w:pPr>
        <w:pStyle w:val="22"/>
        <w:tabs>
          <w:tab w:val="left" w:pos="1441"/>
        </w:tabs>
        <w:spacing w:before="11" w:line="480" w:lineRule="exact"/>
        <w:ind w:left="0" w:right="454" w:firstLine="0"/>
        <w:rPr>
          <w:sz w:val="24"/>
        </w:rPr>
      </w:pPr>
      <w:r>
        <w:rPr>
          <w:rFonts w:hint="eastAsia"/>
          <w:sz w:val="24"/>
        </w:rPr>
        <w:t>（2）</w:t>
      </w:r>
      <w:r>
        <w:rPr>
          <w:sz w:val="24"/>
        </w:rPr>
        <w:t>资质要求： 必须具备所投同类设备的</w:t>
      </w:r>
      <w:r>
        <w:rPr>
          <w:rFonts w:hint="eastAsia"/>
          <w:sz w:val="24"/>
        </w:rPr>
        <w:t>生产</w:t>
      </w:r>
      <w:r>
        <w:rPr>
          <w:sz w:val="24"/>
        </w:rPr>
        <w:t>制造资格</w:t>
      </w:r>
      <w:r>
        <w:rPr>
          <w:rFonts w:hint="eastAsia"/>
          <w:sz w:val="24"/>
        </w:rPr>
        <w:t>。</w:t>
      </w:r>
    </w:p>
    <w:p w14:paraId="0CDC6B0B">
      <w:pPr>
        <w:pStyle w:val="22"/>
        <w:tabs>
          <w:tab w:val="left" w:pos="1441"/>
        </w:tabs>
        <w:spacing w:before="11" w:line="480" w:lineRule="exact"/>
        <w:ind w:left="0" w:right="454" w:firstLine="0"/>
        <w:rPr>
          <w:sz w:val="24"/>
        </w:rPr>
      </w:pPr>
      <w:r>
        <w:rPr>
          <w:rFonts w:hint="eastAsia"/>
          <w:sz w:val="24"/>
        </w:rPr>
        <w:t>（3）</w:t>
      </w:r>
      <w:r>
        <w:rPr>
          <w:sz w:val="24"/>
        </w:rPr>
        <w:t>财务状态要求：具有良好的商业信誉和健全的财务会计制度</w:t>
      </w:r>
    </w:p>
    <w:p w14:paraId="510BB61C">
      <w:pPr>
        <w:pStyle w:val="22"/>
        <w:tabs>
          <w:tab w:val="left" w:pos="1441"/>
        </w:tabs>
        <w:spacing w:before="66" w:line="480" w:lineRule="exact"/>
        <w:ind w:left="0" w:right="454" w:firstLine="0"/>
        <w:rPr>
          <w:sz w:val="24"/>
        </w:rPr>
      </w:pPr>
      <w:r>
        <w:rPr>
          <w:rFonts w:hint="eastAsia"/>
          <w:sz w:val="24"/>
        </w:rPr>
        <w:t>（</w:t>
      </w:r>
      <w:r>
        <w:rPr>
          <w:rFonts w:hint="eastAsia"/>
          <w:sz w:val="24"/>
          <w:lang w:val="en-US"/>
        </w:rPr>
        <w:t>4</w:t>
      </w:r>
      <w:r>
        <w:rPr>
          <w:rFonts w:hint="eastAsia"/>
          <w:sz w:val="24"/>
        </w:rPr>
        <w:t>）</w:t>
      </w:r>
      <w:r>
        <w:rPr>
          <w:sz w:val="24"/>
        </w:rPr>
        <w:t>业绩要求：投标人近三年至少承担过</w:t>
      </w:r>
      <w:r>
        <w:rPr>
          <w:rFonts w:hint="eastAsia"/>
          <w:sz w:val="24"/>
          <w:lang w:val="en-US"/>
        </w:rPr>
        <w:t>一项除尘系统制造、安装</w:t>
      </w:r>
      <w:r>
        <w:rPr>
          <w:sz w:val="24"/>
        </w:rPr>
        <w:t>业绩</w:t>
      </w:r>
      <w:r>
        <w:rPr>
          <w:rFonts w:hint="eastAsia"/>
          <w:sz w:val="24"/>
        </w:rPr>
        <w:t>。</w:t>
      </w:r>
    </w:p>
    <w:p w14:paraId="23FF6A94">
      <w:pPr>
        <w:pStyle w:val="22"/>
        <w:tabs>
          <w:tab w:val="left" w:pos="1441"/>
        </w:tabs>
        <w:spacing w:before="66" w:line="480" w:lineRule="exact"/>
        <w:ind w:left="0" w:right="454" w:firstLine="0"/>
        <w:rPr>
          <w:sz w:val="24"/>
        </w:rPr>
      </w:pPr>
      <w:r>
        <w:rPr>
          <w:rFonts w:hint="eastAsia"/>
          <w:sz w:val="24"/>
        </w:rPr>
        <w:t>（</w:t>
      </w:r>
      <w:r>
        <w:rPr>
          <w:rFonts w:hint="eastAsia"/>
          <w:sz w:val="24"/>
          <w:lang w:val="en-US"/>
        </w:rPr>
        <w:t>5</w:t>
      </w:r>
      <w:r>
        <w:rPr>
          <w:rFonts w:hint="eastAsia"/>
          <w:sz w:val="24"/>
        </w:rPr>
        <w:t>）</w:t>
      </w:r>
      <w:r>
        <w:rPr>
          <w:sz w:val="24"/>
        </w:rPr>
        <w:t>信用要求：近三年内无司法、行政机关</w:t>
      </w:r>
      <w:r>
        <w:rPr>
          <w:rFonts w:hint="eastAsia"/>
          <w:sz w:val="24"/>
        </w:rPr>
        <w:t>生</w:t>
      </w:r>
      <w:r>
        <w:rPr>
          <w:sz w:val="24"/>
        </w:rPr>
        <w:t>效判决和决定中确认的违反法律法规的情形。</w:t>
      </w:r>
    </w:p>
    <w:p w14:paraId="5D9318EB">
      <w:pPr>
        <w:pStyle w:val="22"/>
        <w:tabs>
          <w:tab w:val="left" w:pos="1441"/>
        </w:tabs>
        <w:spacing w:before="43" w:line="480" w:lineRule="exact"/>
        <w:ind w:left="0" w:right="454" w:firstLine="0"/>
        <w:rPr>
          <w:sz w:val="24"/>
        </w:rPr>
      </w:pPr>
      <w:r>
        <w:rPr>
          <w:rFonts w:hint="eastAsia"/>
          <w:sz w:val="24"/>
        </w:rPr>
        <w:t>（</w:t>
      </w:r>
      <w:r>
        <w:rPr>
          <w:rFonts w:hint="eastAsia"/>
          <w:sz w:val="24"/>
          <w:lang w:val="en-US"/>
        </w:rPr>
        <w:t>6</w:t>
      </w:r>
      <w:r>
        <w:rPr>
          <w:rFonts w:hint="eastAsia"/>
          <w:sz w:val="24"/>
        </w:rPr>
        <w:t>）</w:t>
      </w:r>
      <w:r>
        <w:rPr>
          <w:sz w:val="24"/>
        </w:rPr>
        <w:t>其他要求：</w:t>
      </w:r>
    </w:p>
    <w:p w14:paraId="2B8FA0EB">
      <w:pPr>
        <w:spacing w:before="4" w:line="480" w:lineRule="exact"/>
        <w:ind w:right="454" w:firstLine="240" w:firstLineChars="100"/>
        <w:rPr>
          <w:sz w:val="24"/>
        </w:rPr>
      </w:pPr>
      <w:r>
        <w:rPr>
          <w:rFonts w:hint="eastAsia" w:ascii="宋体" w:hAnsi="宋体" w:cs="宋体"/>
          <w:sz w:val="24"/>
        </w:rPr>
        <w:t>①</w:t>
      </w:r>
      <w:r>
        <w:rPr>
          <w:sz w:val="24"/>
        </w:rPr>
        <w:t>与招标人存在利害关系可能影响招标公正性的法人、其他组织或者个人， 不得参加投标；</w:t>
      </w:r>
    </w:p>
    <w:p w14:paraId="0D6AC26F">
      <w:pPr>
        <w:pStyle w:val="22"/>
        <w:spacing w:before="4" w:line="480" w:lineRule="exact"/>
        <w:ind w:left="0" w:right="454" w:firstLine="240" w:firstLineChars="100"/>
        <w:rPr>
          <w:sz w:val="24"/>
        </w:rPr>
      </w:pPr>
      <w:r>
        <w:rPr>
          <w:rFonts w:hint="eastAsia"/>
          <w:sz w:val="24"/>
        </w:rPr>
        <w:t>②</w:t>
      </w:r>
      <w:r>
        <w:rPr>
          <w:sz w:val="24"/>
        </w:rPr>
        <w:t>单位负责人为同一人或者存在控股、管理关系的不同单位，不得同时参加本项目投标；</w:t>
      </w:r>
    </w:p>
    <w:p w14:paraId="3D60CEC4">
      <w:pPr>
        <w:tabs>
          <w:tab w:val="left" w:pos="1441"/>
        </w:tabs>
        <w:spacing w:before="10" w:line="480" w:lineRule="exact"/>
        <w:ind w:right="454" w:firstLine="240" w:firstLineChars="100"/>
        <w:rPr>
          <w:sz w:val="18"/>
        </w:rPr>
      </w:pPr>
      <w:r>
        <w:rPr>
          <w:rFonts w:hint="eastAsia"/>
          <w:sz w:val="24"/>
        </w:rPr>
        <w:t>③</w:t>
      </w:r>
      <w:r>
        <w:rPr>
          <w:sz w:val="24"/>
        </w:rPr>
        <w:t>本次招标不接受</w:t>
      </w:r>
      <w:r>
        <w:rPr>
          <w:spacing w:val="-10"/>
          <w:sz w:val="24"/>
        </w:rPr>
        <w:t>联合体投标。</w:t>
      </w:r>
    </w:p>
    <w:p w14:paraId="6D326648">
      <w:pPr>
        <w:spacing w:line="480" w:lineRule="exact"/>
        <w:ind w:right="454"/>
        <w:rPr>
          <w:b/>
          <w:sz w:val="28"/>
          <w:szCs w:val="28"/>
        </w:rPr>
      </w:pPr>
      <w:r>
        <w:rPr>
          <w:rFonts w:hint="eastAsia"/>
          <w:b/>
          <w:sz w:val="28"/>
          <w:szCs w:val="28"/>
        </w:rPr>
        <w:t>3、</w:t>
      </w:r>
      <w:r>
        <w:rPr>
          <w:b/>
          <w:sz w:val="28"/>
          <w:szCs w:val="28"/>
        </w:rPr>
        <w:t>投标截止时间、开标时间及地点</w:t>
      </w:r>
    </w:p>
    <w:p w14:paraId="17E3BE56">
      <w:pPr>
        <w:spacing w:line="480" w:lineRule="exact"/>
        <w:ind w:right="454"/>
        <w:rPr>
          <w:sz w:val="24"/>
        </w:rPr>
      </w:pPr>
      <w:r>
        <w:rPr>
          <w:rFonts w:hint="eastAsia"/>
          <w:sz w:val="24"/>
        </w:rPr>
        <w:t>（1）</w:t>
      </w:r>
      <w:r>
        <w:rPr>
          <w:sz w:val="24"/>
        </w:rPr>
        <w:t>投标截止时间：</w:t>
      </w:r>
      <w:r>
        <w:rPr>
          <w:rFonts w:hint="eastAsia"/>
          <w:color w:val="auto"/>
          <w:sz w:val="24"/>
        </w:rPr>
        <w:t>2024年12月18日15:00</w:t>
      </w:r>
    </w:p>
    <w:p w14:paraId="625870AA">
      <w:pPr>
        <w:spacing w:line="480" w:lineRule="exact"/>
        <w:ind w:right="454"/>
        <w:rPr>
          <w:sz w:val="24"/>
        </w:rPr>
      </w:pPr>
      <w:r>
        <w:rPr>
          <w:rFonts w:hint="eastAsia"/>
          <w:sz w:val="24"/>
        </w:rPr>
        <w:t>（2）投标地点：湖南省湘澧盐化有限责任公司</w:t>
      </w:r>
    </w:p>
    <w:p w14:paraId="19B77154">
      <w:pPr>
        <w:spacing w:line="480" w:lineRule="exact"/>
        <w:ind w:right="454"/>
        <w:rPr>
          <w:sz w:val="24"/>
        </w:rPr>
      </w:pPr>
      <w:r>
        <w:rPr>
          <w:rFonts w:hint="eastAsia"/>
          <w:sz w:val="24"/>
        </w:rPr>
        <w:t>（3）</w:t>
      </w:r>
      <w:r>
        <w:rPr>
          <w:sz w:val="24"/>
        </w:rPr>
        <w:t>开标地点：</w:t>
      </w:r>
      <w:r>
        <w:rPr>
          <w:rFonts w:hint="eastAsia"/>
          <w:sz w:val="24"/>
        </w:rPr>
        <w:t>湖南省湘澧盐化有限责任质量部会议室。</w:t>
      </w:r>
    </w:p>
    <w:p w14:paraId="217D799A">
      <w:pPr>
        <w:spacing w:line="480" w:lineRule="exact"/>
        <w:ind w:right="454"/>
        <w:rPr>
          <w:color w:val="auto"/>
          <w:sz w:val="24"/>
        </w:rPr>
      </w:pPr>
      <w:r>
        <w:rPr>
          <w:rFonts w:hint="eastAsia"/>
          <w:sz w:val="24"/>
        </w:rPr>
        <w:t>（4）开标时间：</w:t>
      </w:r>
      <w:r>
        <w:rPr>
          <w:rFonts w:hint="eastAsia"/>
          <w:color w:val="auto"/>
          <w:sz w:val="24"/>
        </w:rPr>
        <w:t>2024年12月18日15:00</w:t>
      </w:r>
    </w:p>
    <w:p w14:paraId="6EFC06D2">
      <w:pPr>
        <w:spacing w:line="480" w:lineRule="exact"/>
        <w:ind w:right="454"/>
        <w:rPr>
          <w:color w:val="FF0000"/>
          <w:sz w:val="24"/>
        </w:rPr>
      </w:pPr>
      <w:r>
        <w:rPr>
          <w:rFonts w:hint="eastAsia"/>
          <w:sz w:val="24"/>
        </w:rPr>
        <w:t>（5）</w:t>
      </w:r>
      <w:r>
        <w:rPr>
          <w:sz w:val="24"/>
        </w:rPr>
        <w:t>逾期递交的或者未递交的投标文件将拒绝接收。</w:t>
      </w:r>
    </w:p>
    <w:p w14:paraId="60D8E109">
      <w:pPr>
        <w:tabs>
          <w:tab w:val="left" w:pos="1441"/>
        </w:tabs>
        <w:spacing w:before="10" w:line="480" w:lineRule="exact"/>
        <w:ind w:right="454"/>
        <w:rPr>
          <w:b/>
          <w:sz w:val="28"/>
          <w:szCs w:val="28"/>
        </w:rPr>
      </w:pPr>
      <w:r>
        <w:rPr>
          <w:rFonts w:hint="eastAsia"/>
          <w:b/>
          <w:sz w:val="28"/>
          <w:szCs w:val="28"/>
        </w:rPr>
        <w:t>4、</w:t>
      </w:r>
      <w:r>
        <w:rPr>
          <w:b/>
          <w:sz w:val="28"/>
          <w:szCs w:val="28"/>
        </w:rPr>
        <w:t>联系方式</w:t>
      </w:r>
    </w:p>
    <w:p w14:paraId="2E9C50DF">
      <w:pPr>
        <w:tabs>
          <w:tab w:val="left" w:pos="1441"/>
        </w:tabs>
        <w:spacing w:before="10" w:line="480" w:lineRule="exact"/>
        <w:ind w:right="454"/>
        <w:rPr>
          <w:sz w:val="24"/>
        </w:rPr>
      </w:pPr>
      <w:r>
        <w:rPr>
          <w:sz w:val="24"/>
        </w:rPr>
        <w:t>招标人名称：湖南省湘澧盐化有限责任公司</w:t>
      </w:r>
    </w:p>
    <w:p w14:paraId="5C1E9CD0">
      <w:pPr>
        <w:tabs>
          <w:tab w:val="left" w:pos="1441"/>
        </w:tabs>
        <w:spacing w:before="10" w:line="480" w:lineRule="exact"/>
        <w:ind w:right="454"/>
        <w:rPr>
          <w:sz w:val="24"/>
        </w:rPr>
      </w:pPr>
      <w:r>
        <w:rPr>
          <w:sz w:val="24"/>
        </w:rPr>
        <w:t>地址：常德市津市市襄阳街办事处盐矿社区</w:t>
      </w:r>
    </w:p>
    <w:p w14:paraId="4E0B98F1">
      <w:pPr>
        <w:tabs>
          <w:tab w:val="left" w:pos="1441"/>
        </w:tabs>
        <w:spacing w:before="10" w:line="480" w:lineRule="exact"/>
        <w:ind w:right="454"/>
        <w:rPr>
          <w:sz w:val="24"/>
        </w:rPr>
      </w:pPr>
      <w:r>
        <w:rPr>
          <w:sz w:val="24"/>
        </w:rPr>
        <w:t>联系人：</w:t>
      </w:r>
      <w:r>
        <w:rPr>
          <w:rFonts w:hint="eastAsia"/>
          <w:sz w:val="24"/>
        </w:rPr>
        <w:t>谭先生</w:t>
      </w:r>
      <w:r>
        <w:rPr>
          <w:sz w:val="24"/>
        </w:rPr>
        <w:tab/>
      </w:r>
      <w:r>
        <w:rPr>
          <w:sz w:val="24"/>
        </w:rPr>
        <w:t>电话：13</w:t>
      </w:r>
      <w:r>
        <w:rPr>
          <w:rFonts w:hint="eastAsia"/>
          <w:sz w:val="24"/>
        </w:rPr>
        <w:t>575210731</w:t>
      </w:r>
    </w:p>
    <w:p w14:paraId="171CE51E">
      <w:pPr>
        <w:spacing w:line="480" w:lineRule="exact"/>
        <w:ind w:right="454"/>
        <w:jc w:val="right"/>
        <w:rPr>
          <w:sz w:val="24"/>
        </w:rPr>
      </w:pPr>
    </w:p>
    <w:p w14:paraId="3878131D">
      <w:pPr>
        <w:spacing w:line="480" w:lineRule="exact"/>
        <w:ind w:right="454" w:rightChars="216"/>
        <w:jc w:val="right"/>
        <w:rPr>
          <w:sz w:val="24"/>
        </w:rPr>
      </w:pPr>
    </w:p>
    <w:p w14:paraId="5E8663A9">
      <w:pPr>
        <w:spacing w:line="480" w:lineRule="exact"/>
        <w:ind w:right="454"/>
        <w:jc w:val="right"/>
        <w:rPr>
          <w:sz w:val="24"/>
        </w:rPr>
      </w:pPr>
    </w:p>
    <w:p w14:paraId="0C6BE42D">
      <w:pPr>
        <w:spacing w:line="480" w:lineRule="exact"/>
        <w:ind w:right="454"/>
        <w:jc w:val="right"/>
        <w:rPr>
          <w:sz w:val="24"/>
        </w:rPr>
      </w:pPr>
    </w:p>
    <w:p w14:paraId="46A0B3C2">
      <w:pPr>
        <w:spacing w:line="480" w:lineRule="exact"/>
        <w:ind w:right="454"/>
        <w:jc w:val="right"/>
        <w:rPr>
          <w:sz w:val="24"/>
        </w:rPr>
      </w:pPr>
    </w:p>
    <w:p w14:paraId="4345ED3B">
      <w:pPr>
        <w:spacing w:line="480" w:lineRule="exact"/>
        <w:ind w:right="454"/>
        <w:jc w:val="right"/>
        <w:rPr>
          <w:sz w:val="24"/>
        </w:rPr>
      </w:pPr>
      <w:r>
        <w:rPr>
          <w:rFonts w:hint="eastAsia"/>
          <w:sz w:val="24"/>
        </w:rPr>
        <w:t>湖南省湘澧盐化有限责任公司</w:t>
      </w:r>
    </w:p>
    <w:p w14:paraId="6C1A70BD">
      <w:pPr>
        <w:spacing w:line="480" w:lineRule="exact"/>
        <w:ind w:right="454"/>
        <w:jc w:val="right"/>
        <w:rPr>
          <w:color w:val="FF0000"/>
          <w:sz w:val="24"/>
        </w:rPr>
      </w:pPr>
      <w:r>
        <w:rPr>
          <w:rFonts w:hint="eastAsia"/>
          <w:color w:val="auto"/>
          <w:sz w:val="24"/>
        </w:rPr>
        <w:t>2024年12月5日</w:t>
      </w:r>
    </w:p>
    <w:p w14:paraId="682A5A83">
      <w:pPr>
        <w:spacing w:line="480" w:lineRule="exact"/>
        <w:ind w:right="480"/>
        <w:jc w:val="right"/>
        <w:rPr>
          <w:sz w:val="24"/>
        </w:rPr>
      </w:pPr>
    </w:p>
    <w:p w14:paraId="46E3BE10">
      <w:pPr>
        <w:spacing w:line="480" w:lineRule="exact"/>
        <w:ind w:right="480"/>
        <w:jc w:val="right"/>
        <w:rPr>
          <w:sz w:val="24"/>
        </w:rPr>
      </w:pPr>
    </w:p>
    <w:p w14:paraId="3D4BBC9F">
      <w:pPr>
        <w:spacing w:line="480" w:lineRule="exact"/>
        <w:ind w:right="480"/>
        <w:jc w:val="right"/>
        <w:rPr>
          <w:sz w:val="24"/>
        </w:rPr>
      </w:pPr>
    </w:p>
    <w:p w14:paraId="483E14A7">
      <w:pPr>
        <w:spacing w:line="480" w:lineRule="exact"/>
        <w:ind w:right="480"/>
        <w:jc w:val="right"/>
        <w:rPr>
          <w:sz w:val="24"/>
        </w:rPr>
      </w:pPr>
    </w:p>
    <w:p w14:paraId="64D0B029">
      <w:pPr>
        <w:spacing w:line="480" w:lineRule="exact"/>
        <w:ind w:right="480"/>
        <w:jc w:val="right"/>
        <w:rPr>
          <w:sz w:val="24"/>
        </w:rPr>
      </w:pPr>
    </w:p>
    <w:p w14:paraId="2601D8C4">
      <w:pPr>
        <w:spacing w:line="480" w:lineRule="exact"/>
        <w:ind w:right="480"/>
        <w:jc w:val="right"/>
        <w:rPr>
          <w:sz w:val="24"/>
        </w:rPr>
      </w:pPr>
    </w:p>
    <w:p w14:paraId="26E0196B">
      <w:pPr>
        <w:spacing w:line="480" w:lineRule="exact"/>
        <w:ind w:right="480"/>
        <w:jc w:val="right"/>
        <w:rPr>
          <w:sz w:val="24"/>
        </w:rPr>
      </w:pPr>
    </w:p>
    <w:p w14:paraId="2A936C93">
      <w:pPr>
        <w:spacing w:line="480" w:lineRule="exact"/>
        <w:ind w:right="480"/>
        <w:jc w:val="right"/>
        <w:rPr>
          <w:sz w:val="24"/>
        </w:rPr>
      </w:pPr>
    </w:p>
    <w:p w14:paraId="005F9F09">
      <w:pPr>
        <w:spacing w:line="480" w:lineRule="exact"/>
        <w:ind w:right="480"/>
        <w:jc w:val="right"/>
        <w:rPr>
          <w:sz w:val="24"/>
        </w:rPr>
      </w:pPr>
    </w:p>
    <w:p w14:paraId="5789AAA8">
      <w:pPr>
        <w:spacing w:line="480" w:lineRule="exact"/>
        <w:ind w:right="480"/>
        <w:jc w:val="right"/>
        <w:rPr>
          <w:sz w:val="24"/>
        </w:rPr>
      </w:pPr>
    </w:p>
    <w:p w14:paraId="01170347">
      <w:pPr>
        <w:spacing w:line="480" w:lineRule="exact"/>
        <w:ind w:right="480"/>
        <w:jc w:val="right"/>
        <w:rPr>
          <w:sz w:val="24"/>
        </w:rPr>
      </w:pPr>
    </w:p>
    <w:p w14:paraId="19570ECB">
      <w:pPr>
        <w:spacing w:line="480" w:lineRule="exact"/>
        <w:ind w:right="480"/>
        <w:jc w:val="right"/>
        <w:rPr>
          <w:sz w:val="24"/>
        </w:rPr>
      </w:pPr>
    </w:p>
    <w:p w14:paraId="0A535BDA">
      <w:pPr>
        <w:spacing w:line="480" w:lineRule="exact"/>
        <w:ind w:right="480"/>
        <w:jc w:val="right"/>
        <w:rPr>
          <w:sz w:val="24"/>
        </w:rPr>
      </w:pPr>
    </w:p>
    <w:p w14:paraId="54C892B6">
      <w:pPr>
        <w:spacing w:line="480" w:lineRule="exact"/>
        <w:ind w:right="480"/>
        <w:jc w:val="right"/>
        <w:rPr>
          <w:sz w:val="24"/>
        </w:rPr>
      </w:pPr>
    </w:p>
    <w:p w14:paraId="3A2AC5DE">
      <w:pPr>
        <w:spacing w:line="480" w:lineRule="exact"/>
        <w:ind w:right="480"/>
        <w:jc w:val="right"/>
        <w:rPr>
          <w:sz w:val="24"/>
        </w:rPr>
      </w:pPr>
    </w:p>
    <w:p w14:paraId="4B83913B">
      <w:pPr>
        <w:spacing w:line="480" w:lineRule="exact"/>
        <w:ind w:right="480"/>
        <w:rPr>
          <w:sz w:val="24"/>
        </w:rPr>
      </w:pPr>
    </w:p>
    <w:p w14:paraId="7B170461">
      <w:pPr>
        <w:pStyle w:val="2"/>
        <w:rPr>
          <w:rFonts w:asciiTheme="majorEastAsia" w:hAnsiTheme="majorEastAsia" w:eastAsiaTheme="majorEastAsia"/>
          <w:sz w:val="44"/>
          <w:szCs w:val="44"/>
        </w:rPr>
      </w:pPr>
      <w:r>
        <w:rPr>
          <w:rFonts w:hint="eastAsia" w:asciiTheme="majorEastAsia" w:hAnsiTheme="majorEastAsia" w:eastAsiaTheme="majorEastAsia"/>
          <w:sz w:val="44"/>
          <w:szCs w:val="44"/>
        </w:rPr>
        <w:t>投标须知</w:t>
      </w:r>
    </w:p>
    <w:p w14:paraId="2BE05FA1">
      <w:pPr>
        <w:spacing w:line="460" w:lineRule="exact"/>
        <w:ind w:right="-2"/>
        <w:jc w:val="left"/>
        <w:rPr>
          <w:sz w:val="24"/>
        </w:rPr>
      </w:pPr>
    </w:p>
    <w:p w14:paraId="4406194F">
      <w:pPr>
        <w:spacing w:line="460" w:lineRule="exact"/>
        <w:ind w:right="-2"/>
        <w:jc w:val="left"/>
        <w:rPr>
          <w:sz w:val="24"/>
        </w:rPr>
      </w:pPr>
      <w:r>
        <w:rPr>
          <w:rFonts w:hint="eastAsia"/>
          <w:sz w:val="24"/>
        </w:rPr>
        <w:t>一、</w:t>
      </w:r>
      <w:r>
        <w:rPr>
          <w:rFonts w:hint="eastAsia"/>
          <w:sz w:val="24"/>
          <w:lang w:val="en-US" w:eastAsia="zh-CN"/>
        </w:rPr>
        <w:t>询价采购</w:t>
      </w:r>
      <w:r>
        <w:rPr>
          <w:rFonts w:hint="eastAsia"/>
          <w:sz w:val="24"/>
        </w:rPr>
        <w:t>范围：</w:t>
      </w:r>
    </w:p>
    <w:p w14:paraId="70DDB0EE">
      <w:pPr>
        <w:spacing w:line="460" w:lineRule="exact"/>
        <w:ind w:right="-2" w:firstLine="480" w:firstLineChars="200"/>
        <w:jc w:val="left"/>
        <w:rPr>
          <w:sz w:val="24"/>
        </w:rPr>
      </w:pPr>
      <w:r>
        <w:rPr>
          <w:rFonts w:hint="eastAsia"/>
          <w:sz w:val="24"/>
        </w:rPr>
        <w:t>湖南省湘澧盐化有限责任公司</w:t>
      </w:r>
      <w:r>
        <w:rPr>
          <w:rFonts w:hint="eastAsia" w:ascii="宋体" w:cs="宋体"/>
          <w:bCs/>
          <w:color w:val="000000"/>
          <w:sz w:val="24"/>
        </w:rPr>
        <w:t>生态盐气力输送仓顶布袋除尘器改造</w:t>
      </w:r>
      <w:r>
        <w:rPr>
          <w:rFonts w:hint="eastAsia"/>
          <w:sz w:val="24"/>
        </w:rPr>
        <w:t>相关设备采购</w:t>
      </w:r>
      <w:r>
        <w:rPr>
          <w:rFonts w:hint="eastAsia"/>
          <w:sz w:val="24"/>
          <w:lang w:eastAsia="zh-CN"/>
        </w:rPr>
        <w:t>（</w:t>
      </w:r>
      <w:r>
        <w:rPr>
          <w:rFonts w:hint="eastAsia"/>
          <w:sz w:val="24"/>
          <w:lang w:val="en-US" w:eastAsia="zh-CN"/>
        </w:rPr>
        <w:t>含设备运输、安装及调试）</w:t>
      </w:r>
      <w:r>
        <w:rPr>
          <w:rFonts w:hint="eastAsia"/>
          <w:sz w:val="24"/>
        </w:rPr>
        <w:t>。</w:t>
      </w:r>
    </w:p>
    <w:p w14:paraId="077D5D3F">
      <w:pPr>
        <w:pStyle w:val="22"/>
        <w:spacing w:before="58" w:line="460" w:lineRule="exact"/>
        <w:ind w:left="0" w:firstLine="0"/>
        <w:rPr>
          <w:sz w:val="24"/>
        </w:rPr>
      </w:pPr>
      <w:r>
        <w:rPr>
          <w:rFonts w:hint="eastAsia"/>
          <w:sz w:val="24"/>
        </w:rPr>
        <w:t>二、投标人资格：</w:t>
      </w:r>
    </w:p>
    <w:p w14:paraId="370D31CC">
      <w:pPr>
        <w:pStyle w:val="22"/>
        <w:spacing w:before="58" w:line="460" w:lineRule="exact"/>
        <w:ind w:left="0" w:firstLine="240" w:firstLineChars="100"/>
        <w:rPr>
          <w:sz w:val="30"/>
        </w:rPr>
      </w:pPr>
      <w:r>
        <w:rPr>
          <w:rFonts w:hint="eastAsia"/>
          <w:sz w:val="24"/>
        </w:rPr>
        <w:t>（1）</w:t>
      </w:r>
      <w:r>
        <w:rPr>
          <w:sz w:val="24"/>
        </w:rPr>
        <w:t>投标主体要求：必须具备独立的法人资格，企业财务状况良好，且有固定营业场所；</w:t>
      </w:r>
    </w:p>
    <w:p w14:paraId="7BBE2E82">
      <w:pPr>
        <w:pStyle w:val="22"/>
        <w:tabs>
          <w:tab w:val="left" w:pos="1441"/>
        </w:tabs>
        <w:spacing w:before="11" w:line="460" w:lineRule="exact"/>
        <w:ind w:left="0" w:firstLine="240" w:firstLineChars="100"/>
        <w:rPr>
          <w:sz w:val="13"/>
        </w:rPr>
      </w:pPr>
      <w:r>
        <w:rPr>
          <w:rFonts w:hint="eastAsia"/>
          <w:sz w:val="24"/>
        </w:rPr>
        <w:t>（2）</w:t>
      </w:r>
      <w:r>
        <w:rPr>
          <w:sz w:val="24"/>
        </w:rPr>
        <w:t>资质要求：必须具备所投同类设备的</w:t>
      </w:r>
      <w:r>
        <w:rPr>
          <w:rFonts w:hint="eastAsia"/>
          <w:sz w:val="24"/>
        </w:rPr>
        <w:t>生产</w:t>
      </w:r>
      <w:r>
        <w:rPr>
          <w:sz w:val="24"/>
        </w:rPr>
        <w:t>制造资格</w:t>
      </w:r>
      <w:r>
        <w:rPr>
          <w:rFonts w:hint="eastAsia"/>
          <w:sz w:val="24"/>
          <w:highlight w:val="none"/>
        </w:rPr>
        <w:t>（环保设备生产资格证书）</w:t>
      </w:r>
      <w:r>
        <w:rPr>
          <w:rFonts w:hint="eastAsia"/>
          <w:sz w:val="24"/>
        </w:rPr>
        <w:t>。</w:t>
      </w:r>
    </w:p>
    <w:p w14:paraId="388F4D63">
      <w:pPr>
        <w:pStyle w:val="22"/>
        <w:tabs>
          <w:tab w:val="left" w:pos="1441"/>
        </w:tabs>
        <w:spacing w:before="66" w:line="460" w:lineRule="exact"/>
        <w:ind w:left="0" w:firstLine="0"/>
        <w:rPr>
          <w:sz w:val="24"/>
        </w:rPr>
      </w:pPr>
      <w:r>
        <w:rPr>
          <w:sz w:val="24"/>
        </w:rPr>
        <w:t>财务状态要求：具有良好的商业信誉和健全的财务会计制度</w:t>
      </w:r>
    </w:p>
    <w:p w14:paraId="402FE7EE">
      <w:pPr>
        <w:pStyle w:val="22"/>
        <w:tabs>
          <w:tab w:val="left" w:pos="1441"/>
        </w:tabs>
        <w:spacing w:before="66" w:line="460" w:lineRule="exact"/>
        <w:ind w:left="0" w:firstLine="240" w:firstLineChars="100"/>
        <w:rPr>
          <w:sz w:val="24"/>
        </w:rPr>
      </w:pPr>
      <w:r>
        <w:rPr>
          <w:rFonts w:hint="eastAsia"/>
          <w:sz w:val="24"/>
        </w:rPr>
        <w:t>（3）</w:t>
      </w:r>
      <w:r>
        <w:rPr>
          <w:sz w:val="24"/>
        </w:rPr>
        <w:t>业绩要求：投标人近三年至少承担过</w:t>
      </w:r>
      <w:r>
        <w:rPr>
          <w:rFonts w:hint="eastAsia"/>
          <w:sz w:val="24"/>
          <w:lang w:val="en-US"/>
        </w:rPr>
        <w:t>一项除尘系统生产</w:t>
      </w:r>
      <w:r>
        <w:rPr>
          <w:sz w:val="24"/>
        </w:rPr>
        <w:t>业绩</w:t>
      </w:r>
      <w:r>
        <w:rPr>
          <w:rFonts w:hint="eastAsia"/>
          <w:sz w:val="24"/>
        </w:rPr>
        <w:t>。</w:t>
      </w:r>
    </w:p>
    <w:p w14:paraId="4591489C">
      <w:pPr>
        <w:pStyle w:val="22"/>
        <w:tabs>
          <w:tab w:val="left" w:pos="1441"/>
        </w:tabs>
        <w:spacing w:before="66" w:line="460" w:lineRule="exact"/>
        <w:ind w:left="0" w:firstLine="240" w:firstLineChars="100"/>
        <w:rPr>
          <w:sz w:val="24"/>
        </w:rPr>
      </w:pPr>
      <w:r>
        <w:rPr>
          <w:rFonts w:hint="eastAsia"/>
          <w:sz w:val="24"/>
        </w:rPr>
        <w:t>（</w:t>
      </w:r>
      <w:r>
        <w:rPr>
          <w:rFonts w:hint="eastAsia"/>
          <w:sz w:val="24"/>
          <w:lang w:val="en-US"/>
        </w:rPr>
        <w:t>4</w:t>
      </w:r>
      <w:r>
        <w:rPr>
          <w:rFonts w:hint="eastAsia"/>
          <w:sz w:val="24"/>
        </w:rPr>
        <w:t>）</w:t>
      </w:r>
      <w:r>
        <w:rPr>
          <w:sz w:val="24"/>
        </w:rPr>
        <w:t>信用要求：近三年内无司法、行政机关</w:t>
      </w:r>
      <w:r>
        <w:rPr>
          <w:rFonts w:hint="eastAsia"/>
          <w:sz w:val="24"/>
        </w:rPr>
        <w:t>生</w:t>
      </w:r>
      <w:r>
        <w:rPr>
          <w:sz w:val="24"/>
        </w:rPr>
        <w:t>效判决和决定中确认的违反法律法规的情形。</w:t>
      </w:r>
    </w:p>
    <w:p w14:paraId="457B54B8">
      <w:pPr>
        <w:pStyle w:val="22"/>
        <w:tabs>
          <w:tab w:val="left" w:pos="1441"/>
        </w:tabs>
        <w:spacing w:before="43" w:line="460" w:lineRule="exact"/>
        <w:ind w:left="0" w:firstLine="240" w:firstLineChars="100"/>
        <w:rPr>
          <w:sz w:val="24"/>
        </w:rPr>
      </w:pPr>
      <w:r>
        <w:rPr>
          <w:rFonts w:hint="eastAsia"/>
          <w:sz w:val="24"/>
        </w:rPr>
        <w:t>（</w:t>
      </w:r>
      <w:r>
        <w:rPr>
          <w:rFonts w:hint="eastAsia"/>
          <w:sz w:val="24"/>
          <w:lang w:val="en-US"/>
        </w:rPr>
        <w:t>5</w:t>
      </w:r>
      <w:r>
        <w:rPr>
          <w:rFonts w:hint="eastAsia"/>
          <w:sz w:val="24"/>
        </w:rPr>
        <w:t>）</w:t>
      </w:r>
      <w:r>
        <w:rPr>
          <w:sz w:val="24"/>
        </w:rPr>
        <w:t>其他要求：</w:t>
      </w:r>
    </w:p>
    <w:p w14:paraId="42962CAF">
      <w:pPr>
        <w:spacing w:before="4" w:line="460" w:lineRule="exact"/>
        <w:ind w:right="239" w:firstLine="360" w:firstLineChars="150"/>
        <w:rPr>
          <w:sz w:val="24"/>
        </w:rPr>
      </w:pPr>
      <w:r>
        <w:rPr>
          <w:rFonts w:hint="eastAsia" w:ascii="宋体" w:hAnsi="宋体" w:cs="宋体"/>
          <w:sz w:val="24"/>
        </w:rPr>
        <w:t>①</w:t>
      </w:r>
      <w:r>
        <w:rPr>
          <w:sz w:val="24"/>
        </w:rPr>
        <w:t>与</w:t>
      </w:r>
      <w:r>
        <w:rPr>
          <w:rFonts w:hint="eastAsia"/>
          <w:sz w:val="24"/>
          <w:lang w:val="en-US" w:eastAsia="zh-CN"/>
        </w:rPr>
        <w:t>询价采购</w:t>
      </w:r>
      <w:r>
        <w:rPr>
          <w:rFonts w:hint="eastAsia"/>
          <w:sz w:val="24"/>
        </w:rPr>
        <w:t>人</w:t>
      </w:r>
      <w:r>
        <w:rPr>
          <w:sz w:val="24"/>
        </w:rPr>
        <w:t>存在利害关系可能影响招标公正性的法人、其他组织或者个人， 不得参加投标；</w:t>
      </w:r>
    </w:p>
    <w:p w14:paraId="1A0AB848">
      <w:pPr>
        <w:pStyle w:val="22"/>
        <w:spacing w:before="4" w:line="460" w:lineRule="exact"/>
        <w:ind w:left="0" w:right="239" w:firstLine="360" w:firstLineChars="150"/>
        <w:rPr>
          <w:sz w:val="24"/>
        </w:rPr>
      </w:pPr>
      <w:r>
        <w:rPr>
          <w:rFonts w:hint="eastAsia"/>
          <w:sz w:val="24"/>
        </w:rPr>
        <w:t>②</w:t>
      </w:r>
      <w:r>
        <w:rPr>
          <w:sz w:val="24"/>
        </w:rPr>
        <w:t>单位负责人为同一人或者存在控股、管理关系的不同单位，不得同时参加本项目投标；</w:t>
      </w:r>
    </w:p>
    <w:p w14:paraId="30A2FA1A">
      <w:pPr>
        <w:tabs>
          <w:tab w:val="left" w:pos="1441"/>
        </w:tabs>
        <w:spacing w:before="10" w:line="460" w:lineRule="exact"/>
        <w:ind w:right="423" w:firstLine="360" w:firstLineChars="150"/>
        <w:rPr>
          <w:sz w:val="18"/>
        </w:rPr>
      </w:pPr>
      <w:r>
        <w:rPr>
          <w:rFonts w:hint="eastAsia"/>
          <w:sz w:val="24"/>
        </w:rPr>
        <w:t>③</w:t>
      </w:r>
      <w:r>
        <w:rPr>
          <w:sz w:val="24"/>
        </w:rPr>
        <w:t>本次</w:t>
      </w:r>
      <w:r>
        <w:rPr>
          <w:rFonts w:hint="eastAsia"/>
          <w:sz w:val="24"/>
          <w:lang w:val="en-US" w:eastAsia="zh-CN"/>
        </w:rPr>
        <w:t>询价采购</w:t>
      </w:r>
      <w:r>
        <w:rPr>
          <w:sz w:val="24"/>
        </w:rPr>
        <w:t>不接受</w:t>
      </w:r>
      <w:r>
        <w:rPr>
          <w:spacing w:val="-10"/>
          <w:sz w:val="24"/>
        </w:rPr>
        <w:t>联合体投标。</w:t>
      </w:r>
    </w:p>
    <w:p w14:paraId="30CA9953">
      <w:pPr>
        <w:spacing w:line="460" w:lineRule="exact"/>
        <w:ind w:right="-2"/>
        <w:jc w:val="left"/>
        <w:rPr>
          <w:sz w:val="24"/>
        </w:rPr>
      </w:pPr>
      <w:r>
        <w:rPr>
          <w:rFonts w:hint="eastAsia"/>
          <w:sz w:val="24"/>
        </w:rPr>
        <w:t>三、现场勘察：</w:t>
      </w:r>
    </w:p>
    <w:p w14:paraId="06BB7AD3">
      <w:pPr>
        <w:spacing w:line="460" w:lineRule="exact"/>
        <w:ind w:right="-2" w:firstLine="480" w:firstLineChars="200"/>
        <w:jc w:val="left"/>
        <w:rPr>
          <w:sz w:val="24"/>
        </w:rPr>
      </w:pPr>
      <w:r>
        <w:rPr>
          <w:rFonts w:hint="eastAsia"/>
          <w:sz w:val="24"/>
        </w:rPr>
        <w:t>投标人自行联系进行现场勘察。</w:t>
      </w:r>
    </w:p>
    <w:p w14:paraId="3E7B8051">
      <w:pPr>
        <w:spacing w:line="460" w:lineRule="exact"/>
        <w:ind w:right="-2"/>
        <w:jc w:val="left"/>
        <w:rPr>
          <w:rFonts w:ascii="宋体" w:hAnsi="宋体"/>
          <w:color w:val="000000"/>
          <w:sz w:val="24"/>
        </w:rPr>
      </w:pPr>
      <w:r>
        <w:rPr>
          <w:rFonts w:hint="eastAsia"/>
          <w:sz w:val="24"/>
        </w:rPr>
        <w:t>四、</w:t>
      </w:r>
      <w:r>
        <w:rPr>
          <w:rFonts w:hint="eastAsia" w:ascii="宋体" w:hAnsi="宋体"/>
          <w:color w:val="000000"/>
          <w:sz w:val="24"/>
        </w:rPr>
        <w:t>交货时间和交货地点：</w:t>
      </w:r>
    </w:p>
    <w:p w14:paraId="399B0533">
      <w:pPr>
        <w:spacing w:line="460" w:lineRule="exact"/>
        <w:ind w:right="-2" w:firstLine="480" w:firstLineChars="200"/>
        <w:jc w:val="left"/>
        <w:rPr>
          <w:rFonts w:ascii="宋体" w:hAnsi="宋体"/>
          <w:color w:val="000000"/>
          <w:sz w:val="24"/>
        </w:rPr>
      </w:pPr>
      <w:r>
        <w:rPr>
          <w:rFonts w:hint="eastAsia" w:ascii="宋体" w:hAnsi="宋体"/>
          <w:color w:val="000000"/>
          <w:sz w:val="24"/>
        </w:rPr>
        <w:t>合同生效后</w:t>
      </w:r>
      <w:r>
        <w:rPr>
          <w:rFonts w:hint="eastAsia" w:ascii="宋体" w:hAnsi="宋体"/>
          <w:color w:val="000000"/>
          <w:sz w:val="24"/>
          <w:lang w:val="en-US" w:eastAsia="zh-CN"/>
        </w:rPr>
        <w:t>45</w:t>
      </w:r>
      <w:r>
        <w:rPr>
          <w:rFonts w:hint="eastAsia" w:ascii="宋体" w:hAnsi="宋体"/>
          <w:color w:val="000000"/>
          <w:sz w:val="24"/>
        </w:rPr>
        <w:t>天内交货，交货地点为湖南省湘澧盐化有限责任公司内。</w:t>
      </w:r>
    </w:p>
    <w:p w14:paraId="1AC31E74">
      <w:pPr>
        <w:spacing w:line="460" w:lineRule="exact"/>
        <w:ind w:right="-2"/>
        <w:jc w:val="left"/>
        <w:rPr>
          <w:rFonts w:ascii="宋体" w:hAnsi="宋体"/>
          <w:color w:val="000000"/>
          <w:sz w:val="24"/>
        </w:rPr>
      </w:pPr>
      <w:r>
        <w:rPr>
          <w:rFonts w:hint="eastAsia" w:ascii="宋体" w:hAnsi="宋体"/>
          <w:color w:val="000000"/>
          <w:sz w:val="24"/>
        </w:rPr>
        <w:t>五、运输要求：</w:t>
      </w:r>
    </w:p>
    <w:p w14:paraId="53AD13D3">
      <w:pPr>
        <w:spacing w:line="460" w:lineRule="exact"/>
        <w:ind w:right="-2" w:firstLine="480" w:firstLineChars="200"/>
        <w:jc w:val="left"/>
        <w:rPr>
          <w:rFonts w:ascii="宋体" w:hAnsi="宋体"/>
          <w:color w:val="000000"/>
          <w:sz w:val="24"/>
        </w:rPr>
      </w:pPr>
      <w:r>
        <w:rPr>
          <w:rFonts w:hint="eastAsia" w:ascii="宋体" w:hAnsi="宋体"/>
          <w:color w:val="000000"/>
          <w:sz w:val="24"/>
        </w:rPr>
        <w:t>投标方负责送到</w:t>
      </w:r>
      <w:r>
        <w:rPr>
          <w:rFonts w:hint="eastAsia"/>
          <w:sz w:val="24"/>
          <w:lang w:val="en-US" w:eastAsia="zh-CN"/>
        </w:rPr>
        <w:t>询价采购</w:t>
      </w:r>
      <w:r>
        <w:rPr>
          <w:rFonts w:hint="eastAsia" w:ascii="宋体" w:hAnsi="宋体"/>
          <w:color w:val="000000"/>
          <w:sz w:val="24"/>
        </w:rPr>
        <w:t>方包装厂安装现场，汽车运输，运费由投标方负担。</w:t>
      </w:r>
    </w:p>
    <w:p w14:paraId="1D2454E8">
      <w:pPr>
        <w:spacing w:line="460" w:lineRule="exact"/>
        <w:ind w:right="-2"/>
        <w:jc w:val="left"/>
        <w:rPr>
          <w:rFonts w:ascii="宋体" w:hAnsi="宋体"/>
          <w:color w:val="000000"/>
          <w:sz w:val="24"/>
        </w:rPr>
      </w:pPr>
      <w:r>
        <w:rPr>
          <w:rFonts w:hint="eastAsia" w:ascii="宋体" w:hAnsi="宋体"/>
          <w:color w:val="000000"/>
          <w:sz w:val="24"/>
        </w:rPr>
        <w:t>六、验收标准：</w:t>
      </w:r>
    </w:p>
    <w:p w14:paraId="5991E8A0">
      <w:pPr>
        <w:spacing w:line="460" w:lineRule="exact"/>
        <w:ind w:right="-2" w:firstLine="480" w:firstLineChars="200"/>
        <w:jc w:val="left"/>
        <w:rPr>
          <w:rFonts w:ascii="宋体" w:hAnsi="宋体"/>
          <w:color w:val="000000"/>
          <w:sz w:val="24"/>
        </w:rPr>
      </w:pPr>
      <w:r>
        <w:rPr>
          <w:rFonts w:hint="eastAsia" w:ascii="宋体" w:hAnsi="宋体"/>
          <w:color w:val="000000"/>
          <w:sz w:val="24"/>
        </w:rPr>
        <w:t>按技术要求进行验收。</w:t>
      </w:r>
    </w:p>
    <w:p w14:paraId="5F979E51">
      <w:pPr>
        <w:autoSpaceDE w:val="0"/>
        <w:autoSpaceDN w:val="0"/>
        <w:adjustRightInd w:val="0"/>
        <w:spacing w:line="460" w:lineRule="exact"/>
        <w:rPr>
          <w:rFonts w:ascii="宋体" w:hAnsi="宋体"/>
          <w:color w:val="000000"/>
          <w:sz w:val="24"/>
        </w:rPr>
      </w:pPr>
      <w:r>
        <w:rPr>
          <w:rFonts w:hint="eastAsia" w:ascii="宋体" w:hAnsi="宋体"/>
          <w:color w:val="000000"/>
          <w:sz w:val="24"/>
        </w:rPr>
        <w:t>七、质保期：</w:t>
      </w:r>
    </w:p>
    <w:p w14:paraId="19CB4899">
      <w:pPr>
        <w:autoSpaceDE w:val="0"/>
        <w:autoSpaceDN w:val="0"/>
        <w:adjustRightInd w:val="0"/>
        <w:spacing w:line="460" w:lineRule="exact"/>
        <w:ind w:firstLine="480" w:firstLineChars="200"/>
        <w:rPr>
          <w:rFonts w:ascii="宋体" w:hAnsi="宋体"/>
          <w:color w:val="000000"/>
          <w:sz w:val="24"/>
        </w:rPr>
      </w:pPr>
      <w:r>
        <w:rPr>
          <w:rFonts w:hint="eastAsia" w:ascii="宋体" w:hAnsi="宋体"/>
          <w:color w:val="000000"/>
          <w:sz w:val="24"/>
        </w:rPr>
        <w:t>质保期为验收合格后12个月（各品目有具体要求的按照设备要求）。在质保期内，如有质量问题，卖方应免费更换。</w:t>
      </w:r>
    </w:p>
    <w:p w14:paraId="10FA1709">
      <w:pPr>
        <w:autoSpaceDE w:val="0"/>
        <w:autoSpaceDN w:val="0"/>
        <w:adjustRightInd w:val="0"/>
        <w:spacing w:line="460" w:lineRule="exact"/>
        <w:rPr>
          <w:rFonts w:ascii="宋体"/>
          <w:color w:val="000000"/>
          <w:sz w:val="24"/>
        </w:rPr>
      </w:pPr>
      <w:r>
        <w:rPr>
          <w:rFonts w:hint="eastAsia" w:ascii="宋体" w:hAnsi="宋体"/>
          <w:color w:val="000000"/>
          <w:sz w:val="24"/>
        </w:rPr>
        <w:t>八、支付方式：</w:t>
      </w:r>
    </w:p>
    <w:p w14:paraId="5C4657E3">
      <w:pPr>
        <w:autoSpaceDE w:val="0"/>
        <w:autoSpaceDN w:val="0"/>
        <w:adjustRightInd w:val="0"/>
        <w:spacing w:line="460" w:lineRule="exact"/>
        <w:ind w:firstLine="480"/>
        <w:rPr>
          <w:rFonts w:ascii="宋体" w:hAnsi="宋体"/>
          <w:color w:val="000000"/>
          <w:sz w:val="24"/>
        </w:rPr>
      </w:pPr>
      <w:r>
        <w:rPr>
          <w:rFonts w:hint="eastAsia" w:ascii="宋体" w:hAnsi="宋体"/>
          <w:color w:val="000000"/>
          <w:sz w:val="24"/>
        </w:rPr>
        <w:t>合同签订后7天内支付合同价款的30%，设备及相关材料等发货到安装现场验收后，支付合同价款的60%，安装验收合格后支付至合同价款的90%，留10%的质保金</w:t>
      </w:r>
      <w:r>
        <w:rPr>
          <w:rFonts w:hint="eastAsia" w:ascii="宋体" w:hAnsi="宋体"/>
          <w:color w:val="000000" w:themeColor="text1"/>
          <w:sz w:val="24"/>
          <w14:textFill>
            <w14:solidFill>
              <w14:schemeClr w14:val="tx1"/>
            </w14:solidFill>
          </w14:textFill>
        </w:rPr>
        <w:t>。质保期1年，</w:t>
      </w:r>
      <w:r>
        <w:rPr>
          <w:rFonts w:hint="eastAsia" w:ascii="宋体" w:hAnsi="宋体"/>
          <w:color w:val="000000"/>
          <w:sz w:val="24"/>
          <w:lang w:val="en-US" w:eastAsia="zh-CN"/>
        </w:rPr>
        <w:t>质保验收合格后一次性</w:t>
      </w:r>
      <w:r>
        <w:rPr>
          <w:rFonts w:hint="eastAsia" w:ascii="宋体" w:hAnsi="宋体"/>
          <w:color w:val="000000"/>
          <w:sz w:val="24"/>
        </w:rPr>
        <w:t>付清。</w:t>
      </w:r>
    </w:p>
    <w:p w14:paraId="53323132">
      <w:pPr>
        <w:spacing w:line="460" w:lineRule="exact"/>
        <w:jc w:val="left"/>
        <w:rPr>
          <w:rFonts w:ascii="宋体" w:hAnsi="宋体"/>
          <w:color w:val="000000"/>
          <w:sz w:val="24"/>
        </w:rPr>
      </w:pPr>
      <w:r>
        <w:rPr>
          <w:rFonts w:hint="eastAsia" w:ascii="宋体" w:hAnsi="宋体"/>
          <w:color w:val="000000"/>
          <w:sz w:val="24"/>
        </w:rPr>
        <w:t>九、投标报价：</w:t>
      </w:r>
    </w:p>
    <w:p w14:paraId="3E369581">
      <w:pPr>
        <w:spacing w:line="460" w:lineRule="exact"/>
        <w:ind w:firstLine="480" w:firstLineChars="200"/>
        <w:jc w:val="left"/>
        <w:rPr>
          <w:rFonts w:ascii="宋体" w:hAnsi="宋体"/>
          <w:b/>
          <w:color w:val="000000"/>
          <w:sz w:val="24"/>
        </w:rPr>
      </w:pPr>
      <w:r>
        <w:rPr>
          <w:rFonts w:hint="eastAsia"/>
          <w:sz w:val="24"/>
        </w:rPr>
        <w:t>（1）</w:t>
      </w:r>
      <w:r>
        <w:rPr>
          <w:rFonts w:hint="eastAsia" w:ascii="宋体" w:hAnsi="宋体"/>
          <w:color w:val="000000"/>
          <w:sz w:val="24"/>
        </w:rPr>
        <w:t>本项目设最高</w:t>
      </w:r>
      <w:r>
        <w:rPr>
          <w:sz w:val="24"/>
        </w:rPr>
        <w:t>投标限价</w:t>
      </w:r>
      <w:r>
        <w:rPr>
          <w:rFonts w:hint="eastAsia"/>
          <w:sz w:val="24"/>
        </w:rPr>
        <w:t>，最高投标限价</w:t>
      </w:r>
      <w:bookmarkStart w:id="216" w:name="_GoBack"/>
      <w:bookmarkEnd w:id="216"/>
      <w:r>
        <w:rPr>
          <w:rFonts w:hint="eastAsia"/>
          <w:sz w:val="24"/>
        </w:rPr>
        <w:t>确定</w:t>
      </w:r>
      <w:r>
        <w:rPr>
          <w:rFonts w:hint="eastAsia"/>
          <w:sz w:val="24"/>
          <w:lang w:val="en-US" w:eastAsia="zh-CN"/>
        </w:rPr>
        <w:t>为</w:t>
      </w:r>
      <w:r>
        <w:rPr>
          <w:rFonts w:hint="eastAsia"/>
          <w:color w:val="auto"/>
          <w:sz w:val="24"/>
        </w:rPr>
        <w:t>68万（陆拾捌万元整）</w:t>
      </w:r>
      <w:r>
        <w:rPr>
          <w:rFonts w:hint="eastAsia"/>
          <w:sz w:val="24"/>
        </w:rPr>
        <w:t>。</w:t>
      </w:r>
    </w:p>
    <w:p w14:paraId="5EEE1BC3">
      <w:pPr>
        <w:spacing w:line="460" w:lineRule="exact"/>
        <w:ind w:firstLine="480" w:firstLineChars="200"/>
        <w:jc w:val="left"/>
        <w:rPr>
          <w:rFonts w:ascii="宋体" w:hAnsi="宋体"/>
          <w:color w:val="000000"/>
          <w:sz w:val="24"/>
        </w:rPr>
      </w:pPr>
      <w:r>
        <w:rPr>
          <w:rFonts w:hint="eastAsia"/>
          <w:sz w:val="24"/>
        </w:rPr>
        <w:t>（2）</w:t>
      </w:r>
      <w:r>
        <w:rPr>
          <w:rFonts w:hint="eastAsia" w:ascii="宋体" w:hAnsi="宋体"/>
          <w:color w:val="000000"/>
          <w:sz w:val="24"/>
        </w:rPr>
        <w:t>投标报价为一次性报价机制，不允许多次报价。报价应为设备采购制造费、运输费、现场安装费等的总价（含运费及增值税，税率</w:t>
      </w:r>
      <w:r>
        <w:rPr>
          <w:rFonts w:ascii="宋体" w:hAnsi="宋体"/>
          <w:color w:val="000000"/>
          <w:sz w:val="24"/>
        </w:rPr>
        <w:t>1</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w:t>
      </w:r>
    </w:p>
    <w:p w14:paraId="7FB0F008">
      <w:pPr>
        <w:spacing w:line="460" w:lineRule="exact"/>
        <w:ind w:firstLine="240" w:firstLineChars="100"/>
        <w:rPr>
          <w:rFonts w:ascii="宋体" w:hAnsi="宋体"/>
          <w:sz w:val="24"/>
        </w:rPr>
      </w:pPr>
      <w:r>
        <w:rPr>
          <w:rFonts w:hint="eastAsia" w:ascii="宋体" w:hAnsi="宋体"/>
          <w:sz w:val="24"/>
        </w:rPr>
        <w:t>十</w:t>
      </w:r>
      <w:r>
        <w:rPr>
          <w:rFonts w:hint="eastAsia" w:ascii="宋体" w:hAnsi="宋体"/>
        </w:rPr>
        <w:t>、</w:t>
      </w:r>
      <w:r>
        <w:rPr>
          <w:rFonts w:hint="eastAsia" w:ascii="宋体" w:hAnsi="宋体"/>
          <w:sz w:val="24"/>
        </w:rPr>
        <w:t>投标文件份数：投标书一式二份，其中正本</w:t>
      </w:r>
      <w:r>
        <w:rPr>
          <w:rFonts w:ascii="宋体" w:hAnsi="宋体"/>
          <w:sz w:val="24"/>
        </w:rPr>
        <w:t>1</w:t>
      </w:r>
      <w:r>
        <w:rPr>
          <w:rFonts w:hint="eastAsia" w:ascii="宋体" w:hAnsi="宋体"/>
          <w:sz w:val="24"/>
        </w:rPr>
        <w:t>份，副本1份；投标书需装订成册，密封包装，并在封套的封口处加盖投标人单位章。</w:t>
      </w:r>
      <w:r>
        <w:rPr>
          <w:rFonts w:hint="eastAsia" w:ascii="宋体" w:hAnsi="宋体"/>
          <w:bCs/>
          <w:sz w:val="24"/>
        </w:rPr>
        <w:t>未按要求密封的，招标人不予接受</w:t>
      </w:r>
      <w:r>
        <w:rPr>
          <w:rFonts w:hint="eastAsia" w:ascii="宋体" w:hAnsi="宋体"/>
          <w:sz w:val="24"/>
        </w:rPr>
        <w:t>。</w:t>
      </w:r>
    </w:p>
    <w:p w14:paraId="2F0233AA">
      <w:pPr>
        <w:spacing w:line="460" w:lineRule="exact"/>
        <w:ind w:firstLine="240" w:firstLineChars="100"/>
        <w:rPr>
          <w:rFonts w:ascii="宋体" w:cs="Arial"/>
          <w:sz w:val="24"/>
        </w:rPr>
      </w:pPr>
      <w:r>
        <w:rPr>
          <w:rFonts w:hint="eastAsia" w:ascii="宋体" w:hAnsi="宋体"/>
          <w:sz w:val="24"/>
        </w:rPr>
        <w:t>十一、</w:t>
      </w:r>
      <w:r>
        <w:rPr>
          <w:rFonts w:hint="eastAsia" w:ascii="宋体" w:hAnsi="宋体" w:cs="Arial"/>
          <w:sz w:val="24"/>
        </w:rPr>
        <w:t>到投标截止时间止，招标人收到的投标文件少于</w:t>
      </w:r>
      <w:r>
        <w:rPr>
          <w:rFonts w:ascii="宋体" w:hAnsi="宋体" w:cs="Arial"/>
          <w:sz w:val="24"/>
        </w:rPr>
        <w:t>3</w:t>
      </w:r>
      <w:r>
        <w:rPr>
          <w:rFonts w:hint="eastAsia" w:ascii="宋体" w:hAnsi="宋体" w:cs="Arial"/>
          <w:sz w:val="24"/>
        </w:rPr>
        <w:t>家，招标方将重新组织招标。</w:t>
      </w:r>
    </w:p>
    <w:p w14:paraId="4E02AD28">
      <w:pPr>
        <w:spacing w:line="460" w:lineRule="exact"/>
        <w:ind w:firstLine="240" w:firstLineChars="100"/>
        <w:rPr>
          <w:rFonts w:ascii="宋体" w:hAnsi="宋体"/>
          <w:sz w:val="24"/>
        </w:rPr>
      </w:pPr>
      <w:r>
        <w:rPr>
          <w:rFonts w:hint="eastAsia" w:ascii="宋体" w:hAnsi="宋体"/>
          <w:sz w:val="24"/>
        </w:rPr>
        <w:t>十二、开标、评标、中标：</w:t>
      </w:r>
      <w:r>
        <w:rPr>
          <w:rFonts w:hint="eastAsia"/>
          <w:sz w:val="24"/>
          <w:lang w:val="en-US" w:eastAsia="zh-CN"/>
        </w:rPr>
        <w:t>询价采购工作组对</w:t>
      </w:r>
      <w:r>
        <w:rPr>
          <w:rFonts w:hint="eastAsia" w:ascii="宋体" w:hAnsi="宋体"/>
          <w:sz w:val="24"/>
        </w:rPr>
        <w:t>投标文件进行审查和评标。按</w:t>
      </w:r>
      <w:r>
        <w:rPr>
          <w:rFonts w:hint="eastAsia" w:ascii="宋体" w:hAnsi="宋体"/>
          <w:sz w:val="24"/>
          <w:lang w:val="en-US" w:eastAsia="zh-CN"/>
        </w:rPr>
        <w:t>询价</w:t>
      </w:r>
      <w:r>
        <w:rPr>
          <w:rFonts w:hint="eastAsia" w:ascii="宋体" w:hAnsi="宋体"/>
          <w:sz w:val="24"/>
        </w:rPr>
        <w:t>方《</w:t>
      </w:r>
      <w:r>
        <w:rPr>
          <w:rFonts w:hint="eastAsia" w:ascii="宋体" w:hAnsi="宋体"/>
          <w:sz w:val="24"/>
          <w:lang w:val="en-US" w:eastAsia="zh-CN"/>
        </w:rPr>
        <w:t>询价</w:t>
      </w:r>
      <w:r>
        <w:rPr>
          <w:rFonts w:hint="eastAsia" w:ascii="宋体" w:hAnsi="宋体"/>
          <w:sz w:val="24"/>
        </w:rPr>
        <w:t>办法》相关内容，确定中标人。</w:t>
      </w:r>
    </w:p>
    <w:p w14:paraId="397F39E5">
      <w:pPr>
        <w:spacing w:line="460" w:lineRule="exact"/>
        <w:ind w:firstLine="240" w:firstLineChars="100"/>
        <w:rPr>
          <w:rFonts w:ascii="宋体" w:hAnsi="宋体"/>
          <w:sz w:val="24"/>
        </w:rPr>
      </w:pPr>
      <w:r>
        <w:rPr>
          <w:rFonts w:hint="eastAsia" w:ascii="宋体" w:hAnsi="宋体"/>
          <w:sz w:val="24"/>
        </w:rPr>
        <w:t>十三、合同签订：</w:t>
      </w:r>
    </w:p>
    <w:p w14:paraId="15557F26">
      <w:pPr>
        <w:spacing w:line="460" w:lineRule="exact"/>
        <w:ind w:left="283" w:leftChars="135" w:firstLine="284"/>
        <w:rPr>
          <w:rFonts w:ascii="宋体"/>
          <w:sz w:val="24"/>
        </w:rPr>
      </w:pPr>
      <w:r>
        <w:rPr>
          <w:rFonts w:hint="eastAsia"/>
          <w:sz w:val="24"/>
        </w:rPr>
        <w:t>（1）</w:t>
      </w:r>
      <w:r>
        <w:rPr>
          <w:rFonts w:hint="eastAsia" w:ascii="宋体" w:hAnsi="宋体"/>
          <w:color w:val="000000"/>
          <w:sz w:val="24"/>
        </w:rPr>
        <w:t>投标人自接到中标通知后十五天内，必须依照《</w:t>
      </w:r>
      <w:r>
        <w:rPr>
          <w:rFonts w:hint="eastAsia" w:ascii="宋体" w:hAnsi="宋体"/>
          <w:color w:val="000000"/>
          <w:sz w:val="24"/>
          <w:lang w:val="en-US" w:eastAsia="zh-CN"/>
        </w:rPr>
        <w:t>民法典</w:t>
      </w:r>
      <w:r>
        <w:rPr>
          <w:rFonts w:hint="eastAsia" w:ascii="宋体" w:hAnsi="宋体"/>
          <w:color w:val="000000"/>
          <w:sz w:val="24"/>
        </w:rPr>
        <w:t>》、</w:t>
      </w:r>
      <w:r>
        <w:rPr>
          <w:rFonts w:hint="eastAsia" w:ascii="宋体" w:hAnsi="宋体"/>
          <w:color w:val="000000"/>
          <w:sz w:val="24"/>
          <w:lang w:val="en-US" w:eastAsia="zh-CN"/>
        </w:rPr>
        <w:t>询价</w:t>
      </w:r>
      <w:r>
        <w:rPr>
          <w:rFonts w:hint="eastAsia" w:ascii="宋体" w:hAnsi="宋体"/>
          <w:color w:val="000000"/>
          <w:sz w:val="24"/>
        </w:rPr>
        <w:t>文件、投标文件各项条款的要约与承诺，与招标人签订合同。</w:t>
      </w:r>
    </w:p>
    <w:p w14:paraId="772205A6">
      <w:pPr>
        <w:spacing w:line="460" w:lineRule="exact"/>
        <w:ind w:left="283" w:leftChars="135" w:firstLine="284"/>
        <w:rPr>
          <w:rFonts w:ascii="宋体"/>
          <w:sz w:val="24"/>
        </w:rPr>
      </w:pPr>
      <w:r>
        <w:rPr>
          <w:rFonts w:hint="eastAsia" w:ascii="宋体" w:hAnsi="宋体"/>
          <w:sz w:val="24"/>
        </w:rPr>
        <w:t>（2）</w:t>
      </w:r>
      <w:r>
        <w:rPr>
          <w:rFonts w:hint="eastAsia" w:ascii="宋体" w:hAnsi="宋体"/>
          <w:color w:val="000000"/>
          <w:sz w:val="24"/>
        </w:rPr>
        <w:t>中标人如不遵守</w:t>
      </w:r>
      <w:r>
        <w:rPr>
          <w:rFonts w:hint="eastAsia" w:ascii="宋体" w:hAnsi="宋体"/>
          <w:color w:val="000000"/>
          <w:sz w:val="24"/>
          <w:lang w:val="en-US" w:eastAsia="zh-CN"/>
        </w:rPr>
        <w:t>询价</w:t>
      </w:r>
      <w:r>
        <w:rPr>
          <w:rFonts w:hint="eastAsia" w:ascii="宋体" w:hAnsi="宋体"/>
          <w:color w:val="000000"/>
          <w:sz w:val="24"/>
        </w:rPr>
        <w:t>文件或投标文件各项条款的要约与承诺，在接到中标通知后借故拖延，拒签合同，</w:t>
      </w:r>
      <w:r>
        <w:rPr>
          <w:rFonts w:hint="eastAsia" w:ascii="宋体" w:hAnsi="宋体"/>
          <w:color w:val="000000"/>
          <w:sz w:val="24"/>
          <w:lang w:val="en-US" w:eastAsia="zh-CN"/>
        </w:rPr>
        <w:t>询价方</w:t>
      </w:r>
      <w:r>
        <w:rPr>
          <w:rFonts w:hint="eastAsia" w:ascii="宋体" w:hAnsi="宋体"/>
          <w:color w:val="000000"/>
          <w:sz w:val="24"/>
        </w:rPr>
        <w:t>将依据国家招标投标的有关规定取消该单位的中标资格，并另行选择中标人。</w:t>
      </w:r>
    </w:p>
    <w:p w14:paraId="15FEC6D7">
      <w:pPr>
        <w:pStyle w:val="9"/>
        <w:spacing w:line="460" w:lineRule="exact"/>
        <w:ind w:left="0" w:leftChars="0" w:firstLine="240" w:firstLineChars="100"/>
        <w:rPr>
          <w:rFonts w:ascii="宋体"/>
          <w:b/>
          <w:color w:val="000000"/>
        </w:rPr>
      </w:pPr>
      <w:r>
        <w:rPr>
          <w:rFonts w:hint="eastAsia" w:ascii="宋体" w:hAnsi="宋体"/>
          <w:sz w:val="24"/>
        </w:rPr>
        <w:t>十四、</w:t>
      </w:r>
      <w:r>
        <w:rPr>
          <w:rFonts w:hint="eastAsia" w:ascii="宋体" w:hAnsi="宋体"/>
          <w:color w:val="000000"/>
          <w:sz w:val="24"/>
        </w:rPr>
        <w:t>投标人在投标过程中所发生的一切费用，均由投标人自行承担，投标文件一律不退还。招标人对决标结果不负责解释。</w:t>
      </w:r>
    </w:p>
    <w:p w14:paraId="67313820">
      <w:pPr>
        <w:spacing w:line="460" w:lineRule="exact"/>
        <w:ind w:firstLine="240" w:firstLineChars="100"/>
        <w:rPr>
          <w:rFonts w:ascii="宋体" w:hAnsi="宋体"/>
          <w:sz w:val="24"/>
        </w:rPr>
      </w:pPr>
      <w:r>
        <w:rPr>
          <w:rFonts w:hint="eastAsia" w:ascii="宋体" w:hAnsi="宋体"/>
          <w:sz w:val="24"/>
        </w:rPr>
        <w:t>十五、本投标文件的最终解释权归湖南省湘澧盐化有限责任公司。</w:t>
      </w:r>
    </w:p>
    <w:p w14:paraId="4F59FF56">
      <w:pPr>
        <w:spacing w:line="480" w:lineRule="exact"/>
        <w:ind w:firstLine="120" w:firstLineChars="50"/>
        <w:rPr>
          <w:rFonts w:ascii="宋体" w:hAnsi="宋体"/>
          <w:sz w:val="24"/>
        </w:rPr>
      </w:pPr>
    </w:p>
    <w:p w14:paraId="418220C0">
      <w:pPr>
        <w:spacing w:line="480" w:lineRule="exact"/>
        <w:rPr>
          <w:rFonts w:ascii="宋体" w:hAnsi="宋体"/>
          <w:sz w:val="24"/>
        </w:rPr>
      </w:pPr>
    </w:p>
    <w:p w14:paraId="67592109">
      <w:pPr>
        <w:spacing w:line="480" w:lineRule="exact"/>
        <w:rPr>
          <w:rFonts w:ascii="宋体" w:hAnsi="宋体"/>
          <w:sz w:val="24"/>
        </w:rPr>
      </w:pPr>
    </w:p>
    <w:p w14:paraId="43C5511A">
      <w:pPr>
        <w:spacing w:line="480" w:lineRule="exact"/>
        <w:rPr>
          <w:rFonts w:ascii="宋体" w:hAnsi="宋体"/>
          <w:sz w:val="24"/>
        </w:rPr>
      </w:pPr>
    </w:p>
    <w:p w14:paraId="5CC40BC3">
      <w:pPr>
        <w:spacing w:line="480" w:lineRule="exact"/>
        <w:rPr>
          <w:rFonts w:ascii="宋体" w:hAnsi="宋体"/>
          <w:sz w:val="24"/>
        </w:rPr>
      </w:pPr>
    </w:p>
    <w:p w14:paraId="75CCB1BD">
      <w:pPr>
        <w:spacing w:line="480" w:lineRule="exact"/>
        <w:rPr>
          <w:rFonts w:ascii="宋体" w:hAnsi="宋体"/>
          <w:sz w:val="24"/>
        </w:rPr>
      </w:pPr>
    </w:p>
    <w:p w14:paraId="7A2FB035">
      <w:pPr>
        <w:spacing w:line="480" w:lineRule="exact"/>
        <w:rPr>
          <w:rFonts w:ascii="宋体" w:hAnsi="宋体"/>
          <w:sz w:val="24"/>
        </w:rPr>
      </w:pPr>
    </w:p>
    <w:p w14:paraId="70AD6B75">
      <w:pPr>
        <w:pStyle w:val="2"/>
        <w:rPr>
          <w:rFonts w:asciiTheme="majorEastAsia" w:hAnsiTheme="majorEastAsia" w:eastAsiaTheme="majorEastAsia"/>
          <w:sz w:val="44"/>
          <w:szCs w:val="44"/>
        </w:rPr>
      </w:pPr>
      <w:r>
        <w:rPr>
          <w:rFonts w:hint="eastAsia" w:asciiTheme="majorEastAsia" w:hAnsiTheme="majorEastAsia" w:eastAsiaTheme="majorEastAsia"/>
          <w:sz w:val="44"/>
          <w:szCs w:val="44"/>
        </w:rPr>
        <w:t>评标办法</w:t>
      </w:r>
    </w:p>
    <w:p w14:paraId="71338F0F">
      <w:pPr>
        <w:spacing w:line="360" w:lineRule="auto"/>
        <w:rPr>
          <w:sz w:val="24"/>
        </w:rPr>
      </w:pPr>
      <w:r>
        <w:rPr>
          <w:rFonts w:hint="eastAsia"/>
          <w:sz w:val="24"/>
        </w:rPr>
        <w:t>1.评标方法</w:t>
      </w:r>
    </w:p>
    <w:p w14:paraId="5F1D5C94">
      <w:pPr>
        <w:spacing w:line="360" w:lineRule="auto"/>
        <w:ind w:firstLine="480" w:firstLineChars="200"/>
        <w:rPr>
          <w:sz w:val="24"/>
        </w:rPr>
      </w:pPr>
      <w:r>
        <w:rPr>
          <w:rFonts w:hint="eastAsia"/>
          <w:sz w:val="24"/>
          <w:lang w:val="en-US" w:eastAsia="zh-CN"/>
        </w:rPr>
        <w:t>询价采购工作组</w:t>
      </w:r>
      <w:r>
        <w:rPr>
          <w:sz w:val="24"/>
        </w:rPr>
        <w:t>对满足</w:t>
      </w:r>
      <w:r>
        <w:rPr>
          <w:rFonts w:hint="eastAsia"/>
          <w:sz w:val="24"/>
          <w:lang w:val="en-US" w:eastAsia="zh-CN"/>
        </w:rPr>
        <w:t>询价</w:t>
      </w:r>
      <w:r>
        <w:rPr>
          <w:sz w:val="24"/>
        </w:rPr>
        <w:t>文件实质性要求的投标文件，按照</w:t>
      </w:r>
      <w:r>
        <w:rPr>
          <w:rFonts w:hint="eastAsia"/>
          <w:sz w:val="24"/>
        </w:rPr>
        <w:t>最低价中标确定中标单位</w:t>
      </w:r>
      <w:r>
        <w:rPr>
          <w:sz w:val="24"/>
        </w:rPr>
        <w:t>。如果</w:t>
      </w:r>
      <w:r>
        <w:rPr>
          <w:rFonts w:hint="eastAsia"/>
          <w:sz w:val="24"/>
        </w:rPr>
        <w:t>投标价格</w:t>
      </w:r>
      <w:r>
        <w:rPr>
          <w:sz w:val="24"/>
        </w:rPr>
        <w:t>相同，由</w:t>
      </w:r>
      <w:r>
        <w:rPr>
          <w:rFonts w:hint="eastAsia"/>
          <w:sz w:val="24"/>
          <w:lang w:val="en-US" w:eastAsia="zh-CN"/>
        </w:rPr>
        <w:t>询价方</w:t>
      </w:r>
      <w:r>
        <w:rPr>
          <w:sz w:val="24"/>
        </w:rPr>
        <w:t>自行确定。</w:t>
      </w:r>
    </w:p>
    <w:p w14:paraId="352A9A19">
      <w:pPr>
        <w:spacing w:line="360" w:lineRule="auto"/>
        <w:rPr>
          <w:sz w:val="24"/>
        </w:rPr>
      </w:pPr>
      <w:r>
        <w:rPr>
          <w:rFonts w:hint="eastAsia"/>
          <w:sz w:val="24"/>
        </w:rPr>
        <w:t>2.投标文件的初步审查</w:t>
      </w:r>
    </w:p>
    <w:p w14:paraId="7A8696EE">
      <w:pPr>
        <w:pStyle w:val="22"/>
        <w:tabs>
          <w:tab w:val="left" w:pos="142"/>
        </w:tabs>
        <w:spacing w:line="360" w:lineRule="auto"/>
        <w:ind w:left="0"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2.1</w:t>
      </w:r>
      <w:r>
        <w:rPr>
          <w:rFonts w:ascii="Times New Roman" w:hAnsi="Times New Roman" w:cs="Times New Roman"/>
          <w:kern w:val="2"/>
          <w:sz w:val="24"/>
          <w:szCs w:val="24"/>
          <w:lang w:val="en-US" w:bidi="ar-SA"/>
        </w:rPr>
        <w:t>初步审查分为资格性检查和符合性检查。</w:t>
      </w:r>
    </w:p>
    <w:p w14:paraId="6F4C1BCE">
      <w:pPr>
        <w:pStyle w:val="22"/>
        <w:tabs>
          <w:tab w:val="left" w:pos="776"/>
        </w:tabs>
        <w:spacing w:before="1" w:line="360" w:lineRule="auto"/>
        <w:ind w:left="174" w:right="983"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（1）</w:t>
      </w:r>
      <w:r>
        <w:rPr>
          <w:rFonts w:ascii="Times New Roman" w:hAnsi="Times New Roman" w:cs="Times New Roman"/>
          <w:kern w:val="2"/>
          <w:sz w:val="24"/>
          <w:szCs w:val="24"/>
          <w:lang w:val="en-US" w:bidi="ar-SA"/>
        </w:rPr>
        <w:t>资格性检查。根据法律法规和</w:t>
      </w:r>
      <w:r>
        <w:rPr>
          <w:rFonts w:hint="eastAsia"/>
          <w:sz w:val="24"/>
          <w:lang w:val="en-US" w:eastAsia="zh-CN"/>
        </w:rPr>
        <w:t>询价</w:t>
      </w:r>
      <w:r>
        <w:rPr>
          <w:rFonts w:ascii="Times New Roman" w:hAnsi="Times New Roman" w:cs="Times New Roman"/>
          <w:kern w:val="2"/>
          <w:sz w:val="24"/>
          <w:szCs w:val="24"/>
          <w:lang w:val="en-US" w:bidi="ar-SA"/>
        </w:rPr>
        <w:t>文件的规定，</w:t>
      </w:r>
      <w:r>
        <w:rPr>
          <w:rFonts w:hint="eastAsia"/>
          <w:sz w:val="24"/>
          <w:lang w:val="en-US" w:eastAsia="zh-CN"/>
        </w:rPr>
        <w:t>询价采购工作组</w:t>
      </w:r>
      <w:r>
        <w:rPr>
          <w:rFonts w:ascii="Times New Roman" w:hAnsi="Times New Roman" w:cs="Times New Roman"/>
          <w:kern w:val="2"/>
          <w:sz w:val="24"/>
          <w:szCs w:val="24"/>
          <w:lang w:val="en-US" w:bidi="ar-SA"/>
        </w:rPr>
        <w:t>对投标文件中的资格证明等进行审查，以确定投标人是否具备投标资格。</w:t>
      </w:r>
    </w:p>
    <w:p w14:paraId="1455FB3E">
      <w:pPr>
        <w:pStyle w:val="22"/>
        <w:tabs>
          <w:tab w:val="left" w:pos="721"/>
        </w:tabs>
        <w:spacing w:line="360" w:lineRule="auto"/>
        <w:ind w:left="120" w:right="919"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w:t>
      </w:r>
      <w:r>
        <w:rPr>
          <w:rFonts w:ascii="Times New Roman" w:hAnsi="Times New Roman" w:cs="Times New Roman"/>
          <w:kern w:val="2"/>
          <w:sz w:val="24"/>
          <w:szCs w:val="24"/>
          <w:lang w:val="en-US" w:bidi="ar-SA"/>
        </w:rPr>
        <w:t>符合性检查。依据</w:t>
      </w:r>
      <w:r>
        <w:rPr>
          <w:rFonts w:hint="eastAsia" w:ascii="Times New Roman" w:hAnsi="Times New Roman" w:cs="Times New Roman"/>
          <w:kern w:val="2"/>
          <w:sz w:val="24"/>
          <w:szCs w:val="24"/>
          <w:lang w:val="en-US" w:eastAsia="zh-CN" w:bidi="ar-SA"/>
        </w:rPr>
        <w:t>询价</w:t>
      </w:r>
      <w:r>
        <w:rPr>
          <w:rFonts w:ascii="Times New Roman" w:hAnsi="Times New Roman" w:cs="Times New Roman"/>
          <w:kern w:val="2"/>
          <w:sz w:val="24"/>
          <w:szCs w:val="24"/>
          <w:lang w:val="en-US" w:bidi="ar-SA"/>
        </w:rPr>
        <w:t>文件的规定，从投标文件的有效性、完整性和对</w:t>
      </w:r>
      <w:r>
        <w:rPr>
          <w:rFonts w:hint="eastAsia" w:ascii="Times New Roman" w:hAnsi="Times New Roman" w:cs="Times New Roman"/>
          <w:kern w:val="2"/>
          <w:sz w:val="24"/>
          <w:szCs w:val="24"/>
          <w:lang w:val="en-US" w:eastAsia="zh-CN" w:bidi="ar-SA"/>
        </w:rPr>
        <w:t>询价</w:t>
      </w:r>
      <w:r>
        <w:rPr>
          <w:rFonts w:ascii="Times New Roman" w:hAnsi="Times New Roman" w:cs="Times New Roman"/>
          <w:kern w:val="2"/>
          <w:sz w:val="24"/>
          <w:szCs w:val="24"/>
          <w:lang w:val="en-US" w:bidi="ar-SA"/>
        </w:rPr>
        <w:t>文件的响应程度进行审查，以确定是否对</w:t>
      </w:r>
      <w:r>
        <w:rPr>
          <w:rFonts w:hint="eastAsia" w:ascii="Times New Roman" w:hAnsi="Times New Roman" w:cs="Times New Roman"/>
          <w:kern w:val="2"/>
          <w:sz w:val="24"/>
          <w:szCs w:val="24"/>
          <w:lang w:val="en-US" w:eastAsia="zh-CN" w:bidi="ar-SA"/>
        </w:rPr>
        <w:t>询价</w:t>
      </w:r>
      <w:r>
        <w:rPr>
          <w:rFonts w:ascii="Times New Roman" w:hAnsi="Times New Roman" w:cs="Times New Roman"/>
          <w:kern w:val="2"/>
          <w:sz w:val="24"/>
          <w:szCs w:val="24"/>
          <w:lang w:val="en-US" w:bidi="ar-SA"/>
        </w:rPr>
        <w:t>文件的实质性要求作出响应。</w:t>
      </w:r>
      <w:r>
        <w:rPr>
          <w:rFonts w:hint="eastAsia"/>
          <w:sz w:val="24"/>
          <w:lang w:val="en-US" w:eastAsia="zh-CN"/>
        </w:rPr>
        <w:t>询价采购工作组</w:t>
      </w:r>
      <w:r>
        <w:rPr>
          <w:sz w:val="24"/>
        </w:rPr>
        <w:t>决定投标文件的响应性只根据投标文件真实无误的内容，而不依据外部的证据，但投标文件有不真实、不正确的内容时除外。</w:t>
      </w:r>
    </w:p>
    <w:p w14:paraId="14F9C4AC">
      <w:pPr>
        <w:tabs>
          <w:tab w:val="left" w:pos="721"/>
        </w:tabs>
        <w:spacing w:before="1" w:line="360" w:lineRule="auto"/>
        <w:ind w:right="1039"/>
        <w:rPr>
          <w:sz w:val="24"/>
        </w:rPr>
      </w:pPr>
      <w:r>
        <w:rPr>
          <w:rFonts w:hint="eastAsia"/>
          <w:sz w:val="24"/>
        </w:rPr>
        <w:t>（3）</w:t>
      </w:r>
      <w:r>
        <w:rPr>
          <w:sz w:val="24"/>
        </w:rPr>
        <w:t>实质上没有响应</w:t>
      </w:r>
      <w:r>
        <w:rPr>
          <w:rFonts w:hint="eastAsia"/>
          <w:sz w:val="24"/>
          <w:lang w:val="en-US" w:eastAsia="zh-CN"/>
        </w:rPr>
        <w:t>询价</w:t>
      </w:r>
      <w:r>
        <w:rPr>
          <w:sz w:val="24"/>
        </w:rPr>
        <w:t>文件要求的投标将被否决。投标人不得通过修正、补充或撤销不合要求的偏离或保留从而使其投标成为实质上响应的投标。</w:t>
      </w:r>
    </w:p>
    <w:p w14:paraId="5342E174">
      <w:pPr>
        <w:pStyle w:val="22"/>
        <w:tabs>
          <w:tab w:val="left" w:pos="0"/>
        </w:tabs>
        <w:spacing w:line="360" w:lineRule="auto"/>
        <w:ind w:left="0"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2.2</w:t>
      </w:r>
      <w:r>
        <w:rPr>
          <w:rFonts w:ascii="Times New Roman" w:hAnsi="Times New Roman" w:cs="Times New Roman"/>
          <w:kern w:val="2"/>
          <w:sz w:val="24"/>
          <w:szCs w:val="24"/>
          <w:lang w:val="en-US" w:bidi="ar-SA"/>
        </w:rPr>
        <w:t>投标文件有下列情形之一的，评标委员会应当否决其投标：</w:t>
      </w:r>
    </w:p>
    <w:p w14:paraId="1DAFF65D">
      <w:pPr>
        <w:spacing w:line="360" w:lineRule="auto"/>
        <w:ind w:left="142"/>
        <w:rPr>
          <w:sz w:val="24"/>
        </w:rPr>
      </w:pPr>
      <w:r>
        <w:rPr>
          <w:rFonts w:hint="eastAsia"/>
          <w:sz w:val="24"/>
        </w:rPr>
        <w:t>（1）</w:t>
      </w:r>
      <w:r>
        <w:rPr>
          <w:sz w:val="24"/>
        </w:rPr>
        <w:t>投标人不符合国家或者招标文件规定的资格条件的；</w:t>
      </w:r>
    </w:p>
    <w:p w14:paraId="70EFAD2C">
      <w:pPr>
        <w:tabs>
          <w:tab w:val="left" w:pos="721"/>
        </w:tabs>
        <w:spacing w:before="1" w:line="360" w:lineRule="auto"/>
        <w:ind w:left="142" w:right="1039"/>
        <w:rPr>
          <w:sz w:val="24"/>
        </w:rPr>
      </w:pPr>
      <w:r>
        <w:rPr>
          <w:rFonts w:hint="eastAsia"/>
          <w:sz w:val="24"/>
        </w:rPr>
        <w:t>（2）</w:t>
      </w:r>
      <w:r>
        <w:rPr>
          <w:sz w:val="24"/>
        </w:rPr>
        <w:t>同一投标人提交两个以上不同的投标报价</w:t>
      </w:r>
      <w:r>
        <w:rPr>
          <w:rFonts w:hint="eastAsia"/>
          <w:sz w:val="24"/>
        </w:rPr>
        <w:t>。</w:t>
      </w:r>
    </w:p>
    <w:p w14:paraId="4138E9DC">
      <w:pPr>
        <w:tabs>
          <w:tab w:val="left" w:pos="284"/>
        </w:tabs>
        <w:spacing w:before="1" w:line="360" w:lineRule="auto"/>
        <w:ind w:left="107" w:leftChars="51"/>
        <w:rPr>
          <w:sz w:val="24"/>
        </w:rPr>
      </w:pPr>
      <w:r>
        <w:rPr>
          <w:rFonts w:hint="eastAsia"/>
          <w:sz w:val="24"/>
        </w:rPr>
        <w:t>（3）</w:t>
      </w:r>
      <w:r>
        <w:rPr>
          <w:sz w:val="24"/>
        </w:rPr>
        <w:t>投标文件不满足招标文件中</w:t>
      </w:r>
      <w:r>
        <w:rPr>
          <w:rFonts w:hint="eastAsia"/>
          <w:sz w:val="24"/>
        </w:rPr>
        <w:t>技术文件</w:t>
      </w:r>
      <w:r>
        <w:rPr>
          <w:sz w:val="24"/>
        </w:rPr>
        <w:t>要求的；</w:t>
      </w:r>
    </w:p>
    <w:p w14:paraId="35AE27F1">
      <w:pPr>
        <w:tabs>
          <w:tab w:val="left" w:pos="1059"/>
        </w:tabs>
        <w:spacing w:line="360" w:lineRule="auto"/>
        <w:ind w:left="142"/>
        <w:rPr>
          <w:sz w:val="24"/>
        </w:rPr>
      </w:pPr>
      <w:r>
        <w:rPr>
          <w:rFonts w:hint="eastAsia"/>
          <w:sz w:val="24"/>
        </w:rPr>
        <w:t>（4）</w:t>
      </w:r>
      <w:r>
        <w:rPr>
          <w:sz w:val="24"/>
        </w:rPr>
        <w:t>投标报价高于招标文件设定的最高投标限价的；</w:t>
      </w:r>
    </w:p>
    <w:p w14:paraId="2B28A6DF">
      <w:pPr>
        <w:tabs>
          <w:tab w:val="left" w:pos="1059"/>
        </w:tabs>
        <w:spacing w:before="1" w:line="360" w:lineRule="auto"/>
        <w:ind w:left="142"/>
        <w:rPr>
          <w:sz w:val="24"/>
        </w:rPr>
      </w:pPr>
      <w:r>
        <w:rPr>
          <w:rFonts w:hint="eastAsia"/>
          <w:sz w:val="24"/>
        </w:rPr>
        <w:t>（5）</w:t>
      </w:r>
      <w:r>
        <w:rPr>
          <w:sz w:val="24"/>
        </w:rPr>
        <w:t>投标有效期不足的；</w:t>
      </w:r>
    </w:p>
    <w:p w14:paraId="24674551">
      <w:pPr>
        <w:pStyle w:val="22"/>
        <w:tabs>
          <w:tab w:val="left" w:pos="599"/>
          <w:tab w:val="left" w:pos="1179"/>
        </w:tabs>
        <w:spacing w:line="360" w:lineRule="auto"/>
        <w:ind w:left="142"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（6）</w:t>
      </w:r>
      <w:r>
        <w:rPr>
          <w:rFonts w:ascii="Times New Roman" w:hAnsi="Times New Roman" w:cs="Times New Roman"/>
          <w:kern w:val="2"/>
          <w:sz w:val="24"/>
          <w:szCs w:val="24"/>
          <w:lang w:val="en-US" w:bidi="ar-SA"/>
        </w:rPr>
        <w:t>不符合法律、法规和</w:t>
      </w:r>
      <w:r>
        <w:rPr>
          <w:rFonts w:hint="eastAsia" w:ascii="Times New Roman" w:hAnsi="Times New Roman" w:cs="Times New Roman"/>
          <w:kern w:val="2"/>
          <w:sz w:val="24"/>
          <w:szCs w:val="24"/>
          <w:lang w:val="en-US" w:eastAsia="zh-CN" w:bidi="ar-SA"/>
        </w:rPr>
        <w:t>询价</w:t>
      </w:r>
      <w:r>
        <w:rPr>
          <w:rFonts w:ascii="Times New Roman" w:hAnsi="Times New Roman" w:cs="Times New Roman"/>
          <w:kern w:val="2"/>
          <w:sz w:val="24"/>
          <w:szCs w:val="24"/>
          <w:lang w:val="en-US" w:bidi="ar-SA"/>
        </w:rPr>
        <w:t>文件规定的。</w:t>
      </w:r>
    </w:p>
    <w:p w14:paraId="15778F25">
      <w:pPr>
        <w:pStyle w:val="22"/>
        <w:spacing w:line="360" w:lineRule="auto"/>
        <w:ind w:left="142" w:firstLine="0"/>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2.3</w:t>
      </w:r>
      <w:r>
        <w:rPr>
          <w:rFonts w:ascii="Times New Roman" w:hAnsi="Times New Roman" w:cs="Times New Roman"/>
          <w:kern w:val="2"/>
          <w:sz w:val="24"/>
          <w:szCs w:val="24"/>
          <w:lang w:val="en-US" w:bidi="ar-SA"/>
        </w:rPr>
        <w:t>串通投标的认定</w:t>
      </w:r>
    </w:p>
    <w:p w14:paraId="47C58B31">
      <w:pPr>
        <w:spacing w:line="360" w:lineRule="auto"/>
        <w:ind w:left="337"/>
        <w:rPr>
          <w:sz w:val="24"/>
        </w:rPr>
      </w:pPr>
      <w:r>
        <w:rPr>
          <w:sz w:val="24"/>
        </w:rPr>
        <w:t>有下列情形之一的，经</w:t>
      </w:r>
      <w:r>
        <w:rPr>
          <w:rFonts w:hint="eastAsia"/>
          <w:sz w:val="24"/>
          <w:lang w:val="en-US" w:eastAsia="zh-CN"/>
        </w:rPr>
        <w:t>询价采购工作组</w:t>
      </w:r>
      <w:r>
        <w:rPr>
          <w:sz w:val="24"/>
        </w:rPr>
        <w:t>集体表决后认定，视为投标人相互串通投标：</w:t>
      </w:r>
    </w:p>
    <w:p w14:paraId="44642EF0">
      <w:pPr>
        <w:pStyle w:val="22"/>
        <w:numPr>
          <w:ilvl w:val="0"/>
          <w:numId w:val="1"/>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不同投标人的投标文件异常一致或者投标报价呈规律性差异；</w:t>
      </w:r>
    </w:p>
    <w:p w14:paraId="59AF30D6">
      <w:pPr>
        <w:pStyle w:val="22"/>
        <w:numPr>
          <w:ilvl w:val="0"/>
          <w:numId w:val="1"/>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不同投标人的投标文件由同一单位或者同一个人编制；</w:t>
      </w:r>
    </w:p>
    <w:p w14:paraId="4484C0A6">
      <w:pPr>
        <w:pStyle w:val="22"/>
        <w:numPr>
          <w:ilvl w:val="0"/>
          <w:numId w:val="1"/>
        </w:numPr>
        <w:tabs>
          <w:tab w:val="left" w:pos="939"/>
        </w:tabs>
        <w:spacing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不同投标人委托同一单位或者个人办理投标事宜；</w:t>
      </w:r>
    </w:p>
    <w:p w14:paraId="1A012822">
      <w:pPr>
        <w:pStyle w:val="22"/>
        <w:numPr>
          <w:ilvl w:val="0"/>
          <w:numId w:val="1"/>
        </w:numPr>
        <w:tabs>
          <w:tab w:val="left" w:pos="939"/>
        </w:tabs>
        <w:spacing w:before="1"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不同投标人的投标文件载明的项目管理成员为同一人；</w:t>
      </w:r>
    </w:p>
    <w:p w14:paraId="0FA7A51D">
      <w:pPr>
        <w:pStyle w:val="22"/>
        <w:numPr>
          <w:ilvl w:val="0"/>
          <w:numId w:val="1"/>
        </w:numPr>
        <w:tabs>
          <w:tab w:val="left" w:pos="939"/>
        </w:tabs>
        <w:spacing w:before="43" w:line="360" w:lineRule="auto"/>
        <w:ind w:hanging="602"/>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不同投标人的投标文件相互混装；</w:t>
      </w:r>
    </w:p>
    <w:p w14:paraId="0A99C6C7">
      <w:pPr>
        <w:spacing w:line="360" w:lineRule="auto"/>
        <w:rPr>
          <w:sz w:val="24"/>
        </w:rPr>
      </w:pPr>
      <w:r>
        <w:rPr>
          <w:rFonts w:hint="eastAsia"/>
          <w:sz w:val="24"/>
        </w:rPr>
        <w:t>3问题澄清</w:t>
      </w:r>
    </w:p>
    <w:p w14:paraId="48DE92B6">
      <w:pPr>
        <w:spacing w:before="4" w:line="360" w:lineRule="auto"/>
        <w:ind w:left="120"/>
        <w:rPr>
          <w:sz w:val="24"/>
        </w:rPr>
      </w:pPr>
      <w:r>
        <w:rPr>
          <w:rFonts w:hint="eastAsia"/>
          <w:sz w:val="24"/>
        </w:rPr>
        <w:t>3.1对投标文件中含义不明确、同类问题表述不一致或者有</w:t>
      </w:r>
      <w:r>
        <w:rPr>
          <w:sz w:val="24"/>
        </w:rPr>
        <w:t>明显文字和计算错误的内容，需要投标人对投标文件澄清或者说明的，</w:t>
      </w:r>
      <w:r>
        <w:rPr>
          <w:rFonts w:hint="eastAsia"/>
          <w:sz w:val="24"/>
          <w:lang w:val="en-US" w:eastAsia="zh-CN"/>
        </w:rPr>
        <w:t>询价采购工作组</w:t>
      </w:r>
      <w:r>
        <w:rPr>
          <w:sz w:val="24"/>
        </w:rPr>
        <w:t>将</w:t>
      </w:r>
      <w:r>
        <w:rPr>
          <w:rFonts w:hint="eastAsia"/>
          <w:sz w:val="24"/>
        </w:rPr>
        <w:t>现场通知工作人员要求投标方进行解答或者说明，但不得超出投标文件的范围或对投标文件做实质性的修改（计算错误修正除外）。</w:t>
      </w:r>
      <w:r>
        <w:rPr>
          <w:rFonts w:hint="eastAsia"/>
          <w:sz w:val="24"/>
          <w:lang w:val="en-US" w:eastAsia="zh-CN"/>
        </w:rPr>
        <w:t>询价采购工作组</w:t>
      </w:r>
      <w:r>
        <w:rPr>
          <w:rFonts w:hint="eastAsia"/>
          <w:sz w:val="24"/>
        </w:rPr>
        <w:t>不直接接受投标人主动提出的澄清或者说明。</w:t>
      </w:r>
    </w:p>
    <w:p w14:paraId="2CEA3818">
      <w:pPr>
        <w:spacing w:before="4" w:line="360" w:lineRule="auto"/>
        <w:ind w:left="120"/>
        <w:rPr>
          <w:sz w:val="24"/>
        </w:rPr>
      </w:pPr>
      <w:r>
        <w:rPr>
          <w:rFonts w:hint="eastAsia"/>
          <w:sz w:val="24"/>
        </w:rPr>
        <w:t>3.2投标</w:t>
      </w:r>
      <w:r>
        <w:rPr>
          <w:sz w:val="24"/>
        </w:rPr>
        <w:t>文件出现算术错误的，</w:t>
      </w:r>
      <w:r>
        <w:rPr>
          <w:rFonts w:hint="eastAsia"/>
          <w:sz w:val="24"/>
          <w:lang w:val="en-US" w:eastAsia="zh-CN"/>
        </w:rPr>
        <w:t>询价采购工作组</w:t>
      </w:r>
      <w:r>
        <w:rPr>
          <w:sz w:val="24"/>
        </w:rPr>
        <w:t>按以下原则要求投标人对投标报价进行书面澄清确认。投标人拒不澄清确认的，</w:t>
      </w:r>
      <w:r>
        <w:rPr>
          <w:rFonts w:hint="eastAsia"/>
          <w:sz w:val="24"/>
          <w:lang w:val="en-US" w:eastAsia="zh-CN"/>
        </w:rPr>
        <w:t>询价采购工作组</w:t>
      </w:r>
      <w:r>
        <w:rPr>
          <w:sz w:val="24"/>
        </w:rPr>
        <w:t>应当否决其投标：</w:t>
      </w:r>
    </w:p>
    <w:p w14:paraId="4F7CDB7D">
      <w:pPr>
        <w:spacing w:before="4" w:line="360" w:lineRule="auto"/>
        <w:ind w:left="120"/>
        <w:rPr>
          <w:sz w:val="24"/>
        </w:rPr>
      </w:pPr>
      <w:r>
        <w:rPr>
          <w:rFonts w:hint="eastAsia"/>
          <w:sz w:val="24"/>
        </w:rPr>
        <w:t>（1）</w:t>
      </w:r>
      <w:r>
        <w:rPr>
          <w:sz w:val="24"/>
        </w:rPr>
        <w:t>投标文件中的大写金额与小写金额不一致的，以大写金额为准；</w:t>
      </w:r>
    </w:p>
    <w:p w14:paraId="6E5590BF">
      <w:pPr>
        <w:spacing w:before="4" w:line="360" w:lineRule="auto"/>
        <w:ind w:left="120"/>
        <w:rPr>
          <w:sz w:val="24"/>
        </w:rPr>
      </w:pPr>
      <w:r>
        <w:rPr>
          <w:rFonts w:hint="eastAsia"/>
          <w:sz w:val="24"/>
        </w:rPr>
        <w:t>（2）</w:t>
      </w:r>
      <w:r>
        <w:rPr>
          <w:sz w:val="24"/>
        </w:rPr>
        <w:t>总价金额与单价金额不一致的，以单价金额为准，但单价金额小数点有明显错误的除外。</w:t>
      </w:r>
    </w:p>
    <w:p w14:paraId="3BBBEB45">
      <w:pPr>
        <w:spacing w:before="4" w:line="360" w:lineRule="auto"/>
        <w:ind w:left="120"/>
        <w:rPr>
          <w:sz w:val="24"/>
        </w:rPr>
      </w:pPr>
      <w:r>
        <w:rPr>
          <w:rFonts w:hint="eastAsia"/>
          <w:sz w:val="24"/>
        </w:rPr>
        <w:t>3.3</w:t>
      </w:r>
      <w:r>
        <w:rPr>
          <w:sz w:val="24"/>
        </w:rPr>
        <w:t>有效的澄清或者说明材料，是投标文件的补充材料，成为投标文件的组成部分。</w:t>
      </w:r>
    </w:p>
    <w:p w14:paraId="024026C8">
      <w:pPr>
        <w:spacing w:before="4" w:line="360" w:lineRule="auto"/>
        <w:ind w:left="120"/>
        <w:rPr>
          <w:sz w:val="24"/>
        </w:rPr>
      </w:pPr>
      <w:r>
        <w:rPr>
          <w:rFonts w:hint="eastAsia"/>
          <w:sz w:val="24"/>
        </w:rPr>
        <w:t>3.4</w:t>
      </w:r>
      <w:r>
        <w:rPr>
          <w:rFonts w:hint="eastAsia"/>
          <w:sz w:val="24"/>
          <w:lang w:val="en-US" w:eastAsia="zh-CN"/>
        </w:rPr>
        <w:t>询价采购工作组</w:t>
      </w:r>
      <w:r>
        <w:rPr>
          <w:sz w:val="24"/>
        </w:rPr>
        <w:t>与投标人的澄清或者说明均采用书面形式，投标人的澄清或者说明由投标人代表签字，并按</w:t>
      </w:r>
      <w:r>
        <w:rPr>
          <w:rFonts w:hint="eastAsia"/>
          <w:sz w:val="24"/>
          <w:lang w:val="en-US" w:eastAsia="zh-CN"/>
        </w:rPr>
        <w:t>询价采购工作组</w:t>
      </w:r>
      <w:r>
        <w:rPr>
          <w:sz w:val="24"/>
        </w:rPr>
        <w:t>的通知要求递交。</w:t>
      </w:r>
    </w:p>
    <w:p w14:paraId="26A35ADE">
      <w:pPr>
        <w:pStyle w:val="24"/>
        <w:spacing w:before="12"/>
        <w:ind w:left="10"/>
        <w:rPr>
          <w:rFonts w:asciiTheme="minorEastAsia" w:hAnsiTheme="minorEastAsia" w:eastAsiaTheme="minorEastAsia" w:cstheme="minorEastAsia"/>
          <w:kern w:val="2"/>
          <w:sz w:val="24"/>
          <w:szCs w:val="24"/>
          <w:lang w:val="en-US" w:bidi="ar-SA"/>
        </w:rPr>
      </w:pPr>
    </w:p>
    <w:p w14:paraId="37CBFFB6">
      <w:pPr>
        <w:pStyle w:val="24"/>
        <w:spacing w:before="12"/>
        <w:ind w:left="10"/>
        <w:rPr>
          <w:rFonts w:asciiTheme="minorEastAsia" w:hAnsiTheme="minorEastAsia" w:eastAsiaTheme="minorEastAsia" w:cstheme="minorEastAsia"/>
          <w:kern w:val="2"/>
          <w:sz w:val="24"/>
          <w:szCs w:val="24"/>
          <w:lang w:val="en-US" w:bidi="ar-SA"/>
        </w:rPr>
      </w:pPr>
    </w:p>
    <w:p w14:paraId="2C835446">
      <w:pPr>
        <w:pStyle w:val="24"/>
        <w:spacing w:before="12"/>
        <w:ind w:left="10"/>
        <w:rPr>
          <w:rFonts w:asciiTheme="minorEastAsia" w:hAnsiTheme="minorEastAsia" w:eastAsiaTheme="minorEastAsia" w:cstheme="minorEastAsia"/>
          <w:kern w:val="2"/>
          <w:sz w:val="24"/>
          <w:szCs w:val="24"/>
          <w:lang w:val="en-US" w:bidi="ar-SA"/>
        </w:rPr>
      </w:pPr>
    </w:p>
    <w:p w14:paraId="6C475C1B">
      <w:pPr>
        <w:pStyle w:val="24"/>
        <w:spacing w:before="12"/>
        <w:ind w:left="10"/>
        <w:rPr>
          <w:rFonts w:asciiTheme="minorEastAsia" w:hAnsiTheme="minorEastAsia" w:eastAsiaTheme="minorEastAsia" w:cstheme="minorEastAsia"/>
          <w:kern w:val="2"/>
          <w:sz w:val="24"/>
          <w:szCs w:val="24"/>
          <w:lang w:val="en-US" w:bidi="ar-SA"/>
        </w:rPr>
      </w:pPr>
    </w:p>
    <w:p w14:paraId="61FEDA92">
      <w:pPr>
        <w:pStyle w:val="24"/>
        <w:spacing w:before="12"/>
        <w:ind w:left="10"/>
        <w:rPr>
          <w:rFonts w:asciiTheme="minorEastAsia" w:hAnsiTheme="minorEastAsia" w:eastAsiaTheme="minorEastAsia" w:cstheme="minorEastAsia"/>
          <w:kern w:val="2"/>
          <w:sz w:val="24"/>
          <w:szCs w:val="24"/>
          <w:lang w:val="en-US" w:bidi="ar-SA"/>
        </w:rPr>
      </w:pPr>
    </w:p>
    <w:p w14:paraId="05490A77">
      <w:pPr>
        <w:pStyle w:val="24"/>
        <w:spacing w:before="12"/>
        <w:ind w:left="10"/>
        <w:rPr>
          <w:rFonts w:asciiTheme="minorEastAsia" w:hAnsiTheme="minorEastAsia" w:eastAsiaTheme="minorEastAsia" w:cstheme="minorEastAsia"/>
          <w:kern w:val="2"/>
          <w:sz w:val="24"/>
          <w:szCs w:val="24"/>
          <w:lang w:val="en-US" w:bidi="ar-SA"/>
        </w:rPr>
      </w:pPr>
    </w:p>
    <w:p w14:paraId="617562B1">
      <w:pPr>
        <w:pStyle w:val="24"/>
        <w:spacing w:before="12"/>
        <w:ind w:left="10"/>
        <w:rPr>
          <w:rFonts w:asciiTheme="minorEastAsia" w:hAnsiTheme="minorEastAsia" w:eastAsiaTheme="minorEastAsia" w:cstheme="minorEastAsia"/>
          <w:kern w:val="2"/>
          <w:sz w:val="24"/>
          <w:szCs w:val="24"/>
          <w:lang w:val="en-US" w:bidi="ar-SA"/>
        </w:rPr>
      </w:pPr>
    </w:p>
    <w:p w14:paraId="54C59096">
      <w:pPr>
        <w:pStyle w:val="24"/>
        <w:spacing w:before="12"/>
        <w:ind w:left="10"/>
        <w:rPr>
          <w:rFonts w:asciiTheme="minorEastAsia" w:hAnsiTheme="minorEastAsia" w:eastAsiaTheme="minorEastAsia" w:cstheme="minorEastAsia"/>
          <w:kern w:val="2"/>
          <w:sz w:val="24"/>
          <w:szCs w:val="24"/>
          <w:lang w:val="en-US" w:bidi="ar-SA"/>
        </w:rPr>
      </w:pPr>
    </w:p>
    <w:p w14:paraId="25736BFA">
      <w:pPr>
        <w:pStyle w:val="24"/>
        <w:spacing w:before="12"/>
        <w:ind w:left="10"/>
        <w:rPr>
          <w:rFonts w:asciiTheme="minorEastAsia" w:hAnsiTheme="minorEastAsia" w:eastAsiaTheme="minorEastAsia" w:cstheme="minorEastAsia"/>
          <w:kern w:val="2"/>
          <w:sz w:val="24"/>
          <w:szCs w:val="24"/>
          <w:lang w:val="en-US" w:bidi="ar-SA"/>
        </w:rPr>
      </w:pPr>
    </w:p>
    <w:p w14:paraId="50AAD962">
      <w:pPr>
        <w:pStyle w:val="24"/>
        <w:spacing w:before="12"/>
        <w:ind w:left="10"/>
        <w:rPr>
          <w:rFonts w:asciiTheme="minorEastAsia" w:hAnsiTheme="minorEastAsia" w:eastAsiaTheme="minorEastAsia" w:cstheme="minorEastAsia"/>
          <w:kern w:val="2"/>
          <w:sz w:val="24"/>
          <w:szCs w:val="24"/>
          <w:lang w:val="en-US" w:bidi="ar-SA"/>
        </w:rPr>
      </w:pPr>
    </w:p>
    <w:p w14:paraId="06294EFF">
      <w:pPr>
        <w:pStyle w:val="24"/>
        <w:spacing w:before="12"/>
        <w:ind w:left="10"/>
        <w:rPr>
          <w:rFonts w:asciiTheme="minorEastAsia" w:hAnsiTheme="minorEastAsia" w:eastAsiaTheme="minorEastAsia" w:cstheme="minorEastAsia"/>
          <w:kern w:val="2"/>
          <w:sz w:val="24"/>
          <w:szCs w:val="24"/>
          <w:lang w:val="en-US" w:bidi="ar-SA"/>
        </w:rPr>
      </w:pPr>
    </w:p>
    <w:p w14:paraId="35D07DBF">
      <w:pPr>
        <w:pStyle w:val="24"/>
        <w:spacing w:before="12"/>
        <w:ind w:left="10"/>
        <w:rPr>
          <w:rFonts w:asciiTheme="minorEastAsia" w:hAnsiTheme="minorEastAsia" w:eastAsiaTheme="minorEastAsia" w:cstheme="minorEastAsia"/>
          <w:kern w:val="2"/>
          <w:sz w:val="24"/>
          <w:szCs w:val="24"/>
          <w:lang w:val="en-US" w:bidi="ar-SA"/>
        </w:rPr>
      </w:pPr>
    </w:p>
    <w:p w14:paraId="18097150">
      <w:pPr>
        <w:pStyle w:val="24"/>
        <w:spacing w:before="12"/>
        <w:ind w:left="10"/>
        <w:rPr>
          <w:rFonts w:asciiTheme="minorEastAsia" w:hAnsiTheme="minorEastAsia" w:eastAsiaTheme="minorEastAsia" w:cstheme="minorEastAsia"/>
          <w:kern w:val="2"/>
          <w:sz w:val="24"/>
          <w:szCs w:val="24"/>
          <w:lang w:val="en-US" w:bidi="ar-SA"/>
        </w:rPr>
      </w:pPr>
    </w:p>
    <w:p w14:paraId="24E71FC9">
      <w:pPr>
        <w:pStyle w:val="24"/>
        <w:spacing w:before="12"/>
        <w:ind w:left="10"/>
        <w:rPr>
          <w:rFonts w:asciiTheme="minorEastAsia" w:hAnsiTheme="minorEastAsia" w:eastAsiaTheme="minorEastAsia" w:cstheme="minorEastAsia"/>
          <w:kern w:val="2"/>
          <w:sz w:val="24"/>
          <w:szCs w:val="24"/>
          <w:lang w:val="en-US" w:bidi="ar-SA"/>
        </w:rPr>
      </w:pPr>
    </w:p>
    <w:p w14:paraId="0B050CA7">
      <w:pPr>
        <w:pStyle w:val="24"/>
        <w:spacing w:before="12"/>
        <w:ind w:left="10"/>
        <w:rPr>
          <w:rFonts w:asciiTheme="minorEastAsia" w:hAnsiTheme="minorEastAsia" w:eastAsiaTheme="minorEastAsia" w:cstheme="minorEastAsia"/>
          <w:kern w:val="2"/>
          <w:sz w:val="24"/>
          <w:szCs w:val="24"/>
          <w:lang w:val="en-US" w:bidi="ar-SA"/>
        </w:rPr>
      </w:pPr>
    </w:p>
    <w:p w14:paraId="1C37C333">
      <w:pPr>
        <w:pStyle w:val="24"/>
        <w:spacing w:before="12"/>
        <w:ind w:left="10"/>
        <w:rPr>
          <w:rFonts w:asciiTheme="minorEastAsia" w:hAnsiTheme="minorEastAsia" w:eastAsiaTheme="minorEastAsia" w:cstheme="minorEastAsia"/>
          <w:kern w:val="2"/>
          <w:sz w:val="24"/>
          <w:szCs w:val="24"/>
          <w:lang w:val="en-US" w:bidi="ar-SA"/>
        </w:rPr>
      </w:pPr>
    </w:p>
    <w:p w14:paraId="21863CA9">
      <w:pPr>
        <w:pStyle w:val="24"/>
        <w:spacing w:before="12"/>
        <w:ind w:left="10"/>
        <w:rPr>
          <w:rFonts w:asciiTheme="minorEastAsia" w:hAnsiTheme="minorEastAsia" w:eastAsiaTheme="minorEastAsia" w:cstheme="minorEastAsia"/>
          <w:kern w:val="2"/>
          <w:sz w:val="24"/>
          <w:szCs w:val="24"/>
          <w:lang w:val="en-US" w:bidi="ar-SA"/>
        </w:rPr>
      </w:pPr>
    </w:p>
    <w:p w14:paraId="5BF16B06">
      <w:pPr>
        <w:pStyle w:val="24"/>
        <w:spacing w:before="12"/>
        <w:ind w:left="10"/>
        <w:rPr>
          <w:rFonts w:asciiTheme="minorEastAsia" w:hAnsiTheme="minorEastAsia" w:eastAsiaTheme="minorEastAsia" w:cstheme="minorEastAsia"/>
          <w:kern w:val="2"/>
          <w:sz w:val="24"/>
          <w:szCs w:val="24"/>
          <w:lang w:val="en-US" w:bidi="ar-SA"/>
        </w:rPr>
      </w:pPr>
    </w:p>
    <w:p w14:paraId="0308F3E9">
      <w:pPr>
        <w:pStyle w:val="24"/>
        <w:spacing w:before="12"/>
        <w:ind w:left="10"/>
        <w:rPr>
          <w:rFonts w:asciiTheme="minorEastAsia" w:hAnsiTheme="minorEastAsia" w:eastAsiaTheme="minorEastAsia" w:cstheme="minorEastAsia"/>
          <w:kern w:val="2"/>
          <w:sz w:val="24"/>
          <w:szCs w:val="24"/>
          <w:lang w:val="en-US" w:bidi="ar-SA"/>
        </w:rPr>
      </w:pPr>
    </w:p>
    <w:p w14:paraId="712E6BB4">
      <w:pPr>
        <w:pStyle w:val="24"/>
        <w:spacing w:before="12"/>
        <w:ind w:left="10"/>
        <w:rPr>
          <w:rFonts w:asciiTheme="minorEastAsia" w:hAnsiTheme="minorEastAsia" w:eastAsiaTheme="minorEastAsia" w:cstheme="minorEastAsia"/>
          <w:kern w:val="2"/>
          <w:sz w:val="24"/>
          <w:szCs w:val="24"/>
          <w:lang w:val="en-US" w:bidi="ar-SA"/>
        </w:rPr>
      </w:pPr>
    </w:p>
    <w:p w14:paraId="3E234966">
      <w:pPr>
        <w:pStyle w:val="24"/>
        <w:spacing w:before="12"/>
        <w:ind w:left="10"/>
        <w:rPr>
          <w:rFonts w:asciiTheme="minorEastAsia" w:hAnsiTheme="minorEastAsia" w:eastAsiaTheme="minorEastAsia" w:cstheme="minorEastAsia"/>
          <w:kern w:val="2"/>
          <w:sz w:val="24"/>
          <w:szCs w:val="24"/>
          <w:lang w:val="en-US" w:bidi="ar-SA"/>
        </w:rPr>
      </w:pPr>
    </w:p>
    <w:p w14:paraId="54B6758A">
      <w:pPr>
        <w:pStyle w:val="24"/>
        <w:spacing w:before="12"/>
        <w:ind w:left="10"/>
        <w:rPr>
          <w:rFonts w:asciiTheme="minorEastAsia" w:hAnsiTheme="minorEastAsia" w:eastAsiaTheme="minorEastAsia" w:cstheme="minorEastAsia"/>
          <w:kern w:val="2"/>
          <w:sz w:val="24"/>
          <w:szCs w:val="24"/>
          <w:lang w:val="en-US" w:bidi="ar-SA"/>
        </w:rPr>
      </w:pPr>
    </w:p>
    <w:p w14:paraId="46C7BBF4">
      <w:pPr>
        <w:pStyle w:val="24"/>
        <w:spacing w:before="12"/>
        <w:ind w:left="10"/>
        <w:rPr>
          <w:rFonts w:asciiTheme="minorEastAsia" w:hAnsiTheme="minorEastAsia" w:eastAsiaTheme="minorEastAsia" w:cstheme="minorEastAsia"/>
          <w:kern w:val="2"/>
          <w:sz w:val="24"/>
          <w:szCs w:val="24"/>
          <w:lang w:val="en-US" w:bidi="ar-SA"/>
        </w:rPr>
      </w:pPr>
    </w:p>
    <w:p w14:paraId="14743797">
      <w:pPr>
        <w:pStyle w:val="24"/>
        <w:spacing w:before="12"/>
        <w:ind w:left="10"/>
        <w:rPr>
          <w:rFonts w:asciiTheme="minorEastAsia" w:hAnsiTheme="minorEastAsia" w:eastAsiaTheme="minorEastAsia" w:cstheme="minorEastAsia"/>
          <w:kern w:val="2"/>
          <w:sz w:val="24"/>
          <w:szCs w:val="24"/>
          <w:lang w:val="en-US" w:bidi="ar-SA"/>
        </w:rPr>
      </w:pPr>
    </w:p>
    <w:p w14:paraId="32220A45">
      <w:pPr>
        <w:pStyle w:val="24"/>
        <w:spacing w:before="12"/>
        <w:ind w:left="10"/>
        <w:rPr>
          <w:rFonts w:asciiTheme="minorEastAsia" w:hAnsiTheme="minorEastAsia" w:eastAsiaTheme="minorEastAsia" w:cstheme="minorEastAsia"/>
          <w:kern w:val="2"/>
          <w:sz w:val="24"/>
          <w:szCs w:val="24"/>
          <w:lang w:val="en-US" w:bidi="ar-SA"/>
        </w:rPr>
      </w:pPr>
    </w:p>
    <w:p w14:paraId="5A1E9A40">
      <w:pPr>
        <w:pStyle w:val="24"/>
        <w:spacing w:before="12"/>
        <w:ind w:left="10"/>
        <w:rPr>
          <w:rFonts w:asciiTheme="minorEastAsia" w:hAnsiTheme="minorEastAsia" w:eastAsiaTheme="minorEastAsia" w:cstheme="minorEastAsia"/>
          <w:kern w:val="2"/>
          <w:sz w:val="24"/>
          <w:szCs w:val="24"/>
          <w:lang w:val="en-US" w:bidi="ar-SA"/>
        </w:rPr>
      </w:pPr>
    </w:p>
    <w:p w14:paraId="45E4F32B">
      <w:pPr>
        <w:pStyle w:val="24"/>
        <w:spacing w:before="12"/>
        <w:ind w:left="10"/>
        <w:rPr>
          <w:rFonts w:asciiTheme="minorEastAsia" w:hAnsiTheme="minorEastAsia" w:eastAsiaTheme="minorEastAsia" w:cstheme="minorEastAsia"/>
          <w:kern w:val="2"/>
          <w:sz w:val="24"/>
          <w:szCs w:val="24"/>
          <w:lang w:val="en-US" w:bidi="ar-SA"/>
        </w:rPr>
      </w:pPr>
    </w:p>
    <w:p w14:paraId="3432E816">
      <w:pPr>
        <w:pStyle w:val="24"/>
        <w:spacing w:before="12"/>
        <w:ind w:left="10"/>
        <w:rPr>
          <w:rFonts w:asciiTheme="minorEastAsia" w:hAnsiTheme="minorEastAsia" w:eastAsiaTheme="minorEastAsia" w:cstheme="minorEastAsia"/>
          <w:kern w:val="2"/>
          <w:sz w:val="24"/>
          <w:szCs w:val="24"/>
          <w:lang w:val="en-US" w:bidi="ar-SA"/>
        </w:rPr>
      </w:pPr>
    </w:p>
    <w:p w14:paraId="23747BEA">
      <w:pPr>
        <w:spacing w:before="28"/>
        <w:ind w:right="99"/>
        <w:jc w:val="center"/>
        <w:rPr>
          <w:rFonts w:cs="Microsoft JhengHei" w:asciiTheme="majorEastAsia" w:hAnsiTheme="majorEastAsia" w:eastAsiaTheme="majorEastAsia"/>
          <w:b/>
          <w:bCs/>
          <w:kern w:val="0"/>
          <w:sz w:val="44"/>
          <w:szCs w:val="44"/>
          <w:lang w:val="zh-CN" w:bidi="zh-CN"/>
        </w:rPr>
      </w:pPr>
      <w:r>
        <w:rPr>
          <w:rFonts w:cs="Microsoft JhengHei" w:asciiTheme="majorEastAsia" w:hAnsiTheme="majorEastAsia" w:eastAsiaTheme="majorEastAsia"/>
          <w:b/>
          <w:bCs/>
          <w:kern w:val="0"/>
          <w:sz w:val="44"/>
          <w:szCs w:val="44"/>
          <w:lang w:val="zh-CN" w:bidi="zh-CN"/>
        </w:rPr>
        <w:t>合同条款</w:t>
      </w:r>
    </w:p>
    <w:p w14:paraId="3E1F084C">
      <w:pPr>
        <w:pStyle w:val="7"/>
        <w:ind w:left="5250"/>
        <w:rPr>
          <w:sz w:val="20"/>
        </w:rPr>
      </w:pPr>
    </w:p>
    <w:p w14:paraId="775DDDDB">
      <w:pPr>
        <w:pStyle w:val="7"/>
        <w:spacing w:before="5"/>
        <w:ind w:left="5250"/>
        <w:rPr>
          <w:sz w:val="22"/>
        </w:rPr>
      </w:pPr>
    </w:p>
    <w:p w14:paraId="07612FE7">
      <w:pPr>
        <w:spacing w:before="70" w:line="480" w:lineRule="exact"/>
        <w:ind w:right="536"/>
        <w:rPr>
          <w:sz w:val="24"/>
        </w:rPr>
      </w:pPr>
      <w:r>
        <w:rPr>
          <w:sz w:val="24"/>
        </w:rPr>
        <w:t>买方：</w:t>
      </w:r>
      <w:r>
        <w:rPr>
          <w:rFonts w:hint="eastAsia"/>
          <w:sz w:val="24"/>
        </w:rPr>
        <w:t xml:space="preserve">              </w:t>
      </w:r>
      <w:r>
        <w:rPr>
          <w:sz w:val="24"/>
        </w:rPr>
        <w:t>地址</w:t>
      </w:r>
      <w:r>
        <w:rPr>
          <w:rFonts w:hint="eastAsia"/>
          <w:sz w:val="24"/>
        </w:rPr>
        <w:t xml:space="preserve">：           </w:t>
      </w:r>
      <w:r>
        <w:rPr>
          <w:sz w:val="24"/>
        </w:rPr>
        <w:t>电话：</w:t>
      </w:r>
    </w:p>
    <w:p w14:paraId="71560BF1">
      <w:pPr>
        <w:spacing w:before="70" w:line="480" w:lineRule="exact"/>
        <w:ind w:right="536"/>
        <w:rPr>
          <w:sz w:val="24"/>
        </w:rPr>
      </w:pPr>
      <w:r>
        <w:rPr>
          <w:sz w:val="24"/>
        </w:rPr>
        <w:t>卖方：</w:t>
      </w:r>
      <w:r>
        <w:rPr>
          <w:rFonts w:hint="eastAsia"/>
          <w:sz w:val="24"/>
        </w:rPr>
        <w:t xml:space="preserve">              </w:t>
      </w:r>
      <w:r>
        <w:rPr>
          <w:sz w:val="24"/>
        </w:rPr>
        <w:t>地址：</w:t>
      </w:r>
      <w:r>
        <w:rPr>
          <w:rFonts w:hint="eastAsia"/>
          <w:sz w:val="24"/>
        </w:rPr>
        <w:t xml:space="preserve">          </w:t>
      </w:r>
      <w:r>
        <w:rPr>
          <w:sz w:val="24"/>
        </w:rPr>
        <w:t xml:space="preserve"> 电话：</w:t>
      </w:r>
    </w:p>
    <w:p w14:paraId="42AE03C0">
      <w:pPr>
        <w:spacing w:line="480" w:lineRule="exact"/>
        <w:ind w:right="536"/>
        <w:rPr>
          <w:sz w:val="24"/>
        </w:rPr>
      </w:pPr>
      <w:r>
        <w:rPr>
          <w:sz w:val="24"/>
        </w:rPr>
        <w:t>经买卖双方经过友好协商， 就有关事项达成如下协议，以资共同遵守。</w:t>
      </w:r>
    </w:p>
    <w:p w14:paraId="5C67C08F">
      <w:pPr>
        <w:spacing w:line="480" w:lineRule="exact"/>
        <w:ind w:right="536"/>
        <w:rPr>
          <w:b/>
          <w:sz w:val="24"/>
        </w:rPr>
      </w:pPr>
      <w:bookmarkStart w:id="0" w:name="_bookmark0"/>
      <w:bookmarkEnd w:id="0"/>
      <w:r>
        <w:rPr>
          <w:sz w:val="24"/>
        </w:rPr>
        <mc:AlternateContent>
          <mc:Choice Requires="wps">
            <w:drawing>
              <wp:anchor distT="0" distB="0" distL="114300" distR="114300" simplePos="0" relativeHeight="251660288" behindDoc="0" locked="0" layoutInCell="1" allowOverlap="1">
                <wp:simplePos x="0" y="0"/>
                <wp:positionH relativeFrom="page">
                  <wp:posOffset>994410</wp:posOffset>
                </wp:positionH>
                <wp:positionV relativeFrom="paragraph">
                  <wp:posOffset>230505</wp:posOffset>
                </wp:positionV>
                <wp:extent cx="6087110" cy="1458595"/>
                <wp:effectExtent l="381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087110" cy="1458595"/>
                        </a:xfrm>
                        <a:prstGeom prst="rect">
                          <a:avLst/>
                        </a:prstGeom>
                        <a:noFill/>
                        <a:ln>
                          <a:noFill/>
                        </a:ln>
                      </wps:spPr>
                      <wps:txbx>
                        <w:txbxContent>
                          <w:p w14:paraId="6FA8B19B">
                            <w:pPr>
                              <w:pStyle w:val="7"/>
                              <w:ind w:left="525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3pt;margin-top:18.15pt;height:114.85pt;width:479.3pt;mso-position-horizontal-relative:page;z-index:251660288;mso-width-relative:page;mso-height-relative:page;" filled="f" stroked="f" coordsize="21600,21600" o:gfxdata="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XPC12AAAAAsBAAAPAAAAAAAAAAEA&#10;IAAAACIAAABkcnMvZG93bnJldi54bWxQSwECFAAUAAAACACHTuJAObsQYQ8CAAAGBAAADgAAAAAA&#10;AAABACAAAAAnAQAAZHJzL2Uyb0RvYy54bWxQSwUGAAAAAAYABgBZAQAAqAUAAAAA&#10;">
                <v:fill on="f" focussize="0,0"/>
                <v:stroke on="f"/>
                <v:imagedata o:title=""/>
                <o:lock v:ext="edit" aspectratio="f"/>
                <v:textbox inset="0mm,0mm,0mm,0mm">
                  <w:txbxContent>
                    <w:p w14:paraId="6FA8B19B">
                      <w:pPr>
                        <w:pStyle w:val="7"/>
                        <w:ind w:left="5250"/>
                      </w:pPr>
                    </w:p>
                  </w:txbxContent>
                </v:textbox>
              </v:shape>
            </w:pict>
          </mc:Fallback>
        </mc:AlternateContent>
      </w:r>
      <w:r>
        <w:rPr>
          <w:b/>
          <w:sz w:val="24"/>
        </w:rPr>
        <w:t>一所需货物名称、规格及价格：</w:t>
      </w:r>
    </w:p>
    <w:tbl>
      <w:tblPr>
        <w:tblStyle w:val="14"/>
        <w:tblpPr w:leftFromText="180" w:rightFromText="180" w:vertAnchor="text" w:horzAnchor="margin" w:tblpY="302"/>
        <w:tblW w:w="9571" w:type="dxa"/>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76"/>
        <w:gridCol w:w="2175"/>
        <w:gridCol w:w="3026"/>
        <w:gridCol w:w="757"/>
        <w:gridCol w:w="1324"/>
        <w:gridCol w:w="1513"/>
      </w:tblGrid>
      <w:tr w14:paraId="66F7EBC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43" w:hRule="atLeast"/>
        </w:trPr>
        <w:tc>
          <w:tcPr>
            <w:tcW w:w="776" w:type="dxa"/>
            <w:tcBorders>
              <w:bottom w:val="single" w:color="000000" w:sz="6" w:space="0"/>
              <w:right w:val="single" w:color="000000" w:sz="6" w:space="0"/>
            </w:tcBorders>
          </w:tcPr>
          <w:p w14:paraId="7F129A0D">
            <w:pPr>
              <w:pStyle w:val="24"/>
              <w:spacing w:before="146"/>
              <w:ind w:left="137" w:right="135"/>
              <w:jc w:val="center"/>
              <w:rPr>
                <w:rFonts w:ascii="新宋体" w:eastAsia="新宋体"/>
              </w:rPr>
            </w:pPr>
            <w:r>
              <w:rPr>
                <w:rFonts w:hint="eastAsia" w:ascii="新宋体" w:eastAsia="新宋体"/>
              </w:rPr>
              <w:t>序号</w:t>
            </w:r>
          </w:p>
        </w:tc>
        <w:tc>
          <w:tcPr>
            <w:tcW w:w="2175" w:type="dxa"/>
            <w:tcBorders>
              <w:left w:val="single" w:color="000000" w:sz="6" w:space="0"/>
              <w:bottom w:val="single" w:color="000000" w:sz="6" w:space="0"/>
              <w:right w:val="single" w:color="000000" w:sz="6" w:space="0"/>
            </w:tcBorders>
          </w:tcPr>
          <w:p w14:paraId="4AF8F403">
            <w:pPr>
              <w:pStyle w:val="24"/>
              <w:spacing w:before="146"/>
              <w:ind w:left="585"/>
              <w:rPr>
                <w:rFonts w:ascii="新宋体" w:eastAsia="新宋体"/>
              </w:rPr>
            </w:pPr>
            <w:r>
              <w:rPr>
                <w:rFonts w:hint="eastAsia" w:ascii="新宋体" w:eastAsia="新宋体"/>
              </w:rPr>
              <w:t>货物名称</w:t>
            </w:r>
          </w:p>
        </w:tc>
        <w:tc>
          <w:tcPr>
            <w:tcW w:w="3026" w:type="dxa"/>
            <w:tcBorders>
              <w:left w:val="single" w:color="000000" w:sz="6" w:space="0"/>
              <w:bottom w:val="single" w:color="000000" w:sz="6" w:space="0"/>
              <w:right w:val="single" w:color="000000" w:sz="6" w:space="0"/>
            </w:tcBorders>
          </w:tcPr>
          <w:p w14:paraId="0680A1B3">
            <w:pPr>
              <w:pStyle w:val="24"/>
              <w:spacing w:before="146"/>
              <w:ind w:left="1050" w:right="1040"/>
              <w:jc w:val="center"/>
              <w:rPr>
                <w:rFonts w:ascii="新宋体" w:eastAsia="新宋体"/>
              </w:rPr>
            </w:pPr>
            <w:r>
              <w:rPr>
                <w:rFonts w:hint="eastAsia" w:ascii="新宋体" w:eastAsia="新宋体"/>
              </w:rPr>
              <w:t>型号规格</w:t>
            </w:r>
          </w:p>
        </w:tc>
        <w:tc>
          <w:tcPr>
            <w:tcW w:w="757" w:type="dxa"/>
            <w:tcBorders>
              <w:left w:val="single" w:color="000000" w:sz="6" w:space="0"/>
              <w:bottom w:val="single" w:color="000000" w:sz="6" w:space="0"/>
              <w:right w:val="single" w:color="000000" w:sz="6" w:space="0"/>
            </w:tcBorders>
          </w:tcPr>
          <w:p w14:paraId="387F97EF">
            <w:pPr>
              <w:pStyle w:val="24"/>
              <w:spacing w:before="146"/>
              <w:ind w:left="156"/>
              <w:rPr>
                <w:rFonts w:ascii="新宋体" w:eastAsia="新宋体"/>
              </w:rPr>
            </w:pPr>
            <w:r>
              <w:rPr>
                <w:rFonts w:hint="eastAsia" w:ascii="新宋体" w:eastAsia="新宋体"/>
              </w:rPr>
              <w:t>数量</w:t>
            </w:r>
          </w:p>
        </w:tc>
        <w:tc>
          <w:tcPr>
            <w:tcW w:w="1324" w:type="dxa"/>
            <w:tcBorders>
              <w:left w:val="single" w:color="000000" w:sz="6" w:space="0"/>
              <w:bottom w:val="single" w:color="000000" w:sz="6" w:space="0"/>
              <w:right w:val="single" w:color="000000" w:sz="6" w:space="0"/>
            </w:tcBorders>
          </w:tcPr>
          <w:p w14:paraId="40FD8D30">
            <w:pPr>
              <w:pStyle w:val="24"/>
              <w:tabs>
                <w:tab w:val="left" w:pos="824"/>
              </w:tabs>
              <w:spacing w:before="146"/>
              <w:ind w:left="274"/>
              <w:rPr>
                <w:rFonts w:ascii="新宋体" w:eastAsia="新宋体"/>
              </w:rPr>
            </w:pPr>
            <w:r>
              <w:rPr>
                <w:rFonts w:hint="eastAsia" w:ascii="新宋体" w:eastAsia="新宋体"/>
              </w:rPr>
              <w:t>单</w:t>
            </w:r>
            <w:r>
              <w:rPr>
                <w:rFonts w:hint="eastAsia" w:ascii="新宋体" w:eastAsia="新宋体"/>
              </w:rPr>
              <w:tab/>
            </w:r>
            <w:r>
              <w:rPr>
                <w:rFonts w:hint="eastAsia" w:ascii="新宋体" w:eastAsia="新宋体"/>
              </w:rPr>
              <w:t>价</w:t>
            </w:r>
          </w:p>
        </w:tc>
        <w:tc>
          <w:tcPr>
            <w:tcW w:w="1513" w:type="dxa"/>
            <w:tcBorders>
              <w:left w:val="single" w:color="000000" w:sz="6" w:space="0"/>
              <w:bottom w:val="single" w:color="000000" w:sz="6" w:space="0"/>
            </w:tcBorders>
          </w:tcPr>
          <w:p w14:paraId="020B6F9B">
            <w:pPr>
              <w:pStyle w:val="24"/>
              <w:tabs>
                <w:tab w:val="left" w:pos="918"/>
              </w:tabs>
              <w:spacing w:before="146"/>
              <w:ind w:left="368"/>
              <w:rPr>
                <w:rFonts w:ascii="新宋体" w:eastAsia="新宋体"/>
              </w:rPr>
            </w:pPr>
            <w:r>
              <w:rPr>
                <w:rFonts w:hint="eastAsia" w:ascii="新宋体" w:eastAsia="新宋体"/>
              </w:rPr>
              <w:t>合</w:t>
            </w:r>
            <w:r>
              <w:rPr>
                <w:rFonts w:hint="eastAsia" w:ascii="新宋体" w:eastAsia="新宋体"/>
              </w:rPr>
              <w:tab/>
            </w:r>
            <w:r>
              <w:rPr>
                <w:rFonts w:hint="eastAsia" w:ascii="新宋体" w:eastAsia="新宋体"/>
              </w:rPr>
              <w:t>计</w:t>
            </w:r>
          </w:p>
        </w:tc>
      </w:tr>
      <w:tr w14:paraId="3D9D6F9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6" w:hRule="atLeast"/>
        </w:trPr>
        <w:tc>
          <w:tcPr>
            <w:tcW w:w="776" w:type="dxa"/>
            <w:tcBorders>
              <w:top w:val="single" w:color="000000" w:sz="6" w:space="0"/>
              <w:bottom w:val="single" w:color="000000" w:sz="6" w:space="0"/>
              <w:right w:val="single" w:color="000000" w:sz="6" w:space="0"/>
            </w:tcBorders>
          </w:tcPr>
          <w:p w14:paraId="66454FC6">
            <w:pPr>
              <w:pStyle w:val="24"/>
              <w:spacing w:before="3"/>
              <w:ind w:left="2"/>
              <w:jc w:val="center"/>
              <w:rPr>
                <w:rFonts w:ascii="新宋体"/>
              </w:rPr>
            </w:pPr>
            <w:r>
              <w:rPr>
                <w:rFonts w:ascii="新宋体"/>
              </w:rPr>
              <w:t>1</w:t>
            </w:r>
          </w:p>
        </w:tc>
        <w:tc>
          <w:tcPr>
            <w:tcW w:w="2175" w:type="dxa"/>
            <w:tcBorders>
              <w:top w:val="single" w:color="000000" w:sz="6" w:space="0"/>
              <w:left w:val="single" w:color="000000" w:sz="6" w:space="0"/>
              <w:bottom w:val="single" w:color="000000" w:sz="6" w:space="0"/>
              <w:right w:val="single" w:color="000000" w:sz="6" w:space="0"/>
            </w:tcBorders>
          </w:tcPr>
          <w:p w14:paraId="10DF6DFF">
            <w:pPr>
              <w:pStyle w:val="24"/>
              <w:rPr>
                <w:rFonts w:ascii="Times New Roman"/>
              </w:rPr>
            </w:pPr>
          </w:p>
        </w:tc>
        <w:tc>
          <w:tcPr>
            <w:tcW w:w="3026" w:type="dxa"/>
            <w:tcBorders>
              <w:top w:val="single" w:color="000000" w:sz="6" w:space="0"/>
              <w:left w:val="single" w:color="000000" w:sz="6" w:space="0"/>
              <w:bottom w:val="single" w:color="000000" w:sz="6" w:space="0"/>
              <w:right w:val="single" w:color="000000" w:sz="6" w:space="0"/>
            </w:tcBorders>
          </w:tcPr>
          <w:p w14:paraId="7D78C03D">
            <w:pPr>
              <w:pStyle w:val="24"/>
              <w:rPr>
                <w:rFonts w:ascii="Times New Roman"/>
              </w:rPr>
            </w:pPr>
          </w:p>
        </w:tc>
        <w:tc>
          <w:tcPr>
            <w:tcW w:w="757" w:type="dxa"/>
            <w:tcBorders>
              <w:top w:val="single" w:color="000000" w:sz="6" w:space="0"/>
              <w:left w:val="single" w:color="000000" w:sz="6" w:space="0"/>
              <w:bottom w:val="single" w:color="000000" w:sz="6" w:space="0"/>
              <w:right w:val="single" w:color="000000" w:sz="6" w:space="0"/>
            </w:tcBorders>
          </w:tcPr>
          <w:p w14:paraId="45045F1E">
            <w:pPr>
              <w:pStyle w:val="24"/>
              <w:rPr>
                <w:rFonts w:ascii="Times New Roman"/>
              </w:rPr>
            </w:pPr>
          </w:p>
        </w:tc>
        <w:tc>
          <w:tcPr>
            <w:tcW w:w="1324" w:type="dxa"/>
            <w:tcBorders>
              <w:top w:val="single" w:color="000000" w:sz="6" w:space="0"/>
              <w:left w:val="single" w:color="000000" w:sz="6" w:space="0"/>
              <w:bottom w:val="single" w:color="000000" w:sz="6" w:space="0"/>
              <w:right w:val="single" w:color="000000" w:sz="6" w:space="0"/>
            </w:tcBorders>
          </w:tcPr>
          <w:p w14:paraId="6D9440EE">
            <w:pPr>
              <w:pStyle w:val="24"/>
              <w:rPr>
                <w:rFonts w:ascii="Times New Roman"/>
              </w:rPr>
            </w:pPr>
          </w:p>
        </w:tc>
        <w:tc>
          <w:tcPr>
            <w:tcW w:w="1513" w:type="dxa"/>
            <w:tcBorders>
              <w:top w:val="single" w:color="000000" w:sz="6" w:space="0"/>
              <w:left w:val="single" w:color="000000" w:sz="6" w:space="0"/>
              <w:bottom w:val="single" w:color="000000" w:sz="6" w:space="0"/>
            </w:tcBorders>
          </w:tcPr>
          <w:p w14:paraId="3D60F039">
            <w:pPr>
              <w:pStyle w:val="24"/>
              <w:rPr>
                <w:rFonts w:ascii="Times New Roman"/>
              </w:rPr>
            </w:pPr>
          </w:p>
        </w:tc>
      </w:tr>
      <w:tr w14:paraId="28E48B6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6" w:hRule="atLeast"/>
        </w:trPr>
        <w:tc>
          <w:tcPr>
            <w:tcW w:w="776" w:type="dxa"/>
            <w:tcBorders>
              <w:top w:val="single" w:color="000000" w:sz="6" w:space="0"/>
              <w:bottom w:val="single" w:color="000000" w:sz="6" w:space="0"/>
              <w:right w:val="single" w:color="000000" w:sz="6" w:space="0"/>
            </w:tcBorders>
          </w:tcPr>
          <w:p w14:paraId="476B278E">
            <w:pPr>
              <w:pStyle w:val="24"/>
              <w:spacing w:before="3"/>
              <w:ind w:left="2"/>
              <w:jc w:val="center"/>
              <w:rPr>
                <w:rFonts w:ascii="新宋体"/>
              </w:rPr>
            </w:pPr>
            <w:r>
              <w:rPr>
                <w:rFonts w:ascii="新宋体"/>
              </w:rPr>
              <w:t>n</w:t>
            </w:r>
          </w:p>
        </w:tc>
        <w:tc>
          <w:tcPr>
            <w:tcW w:w="2175" w:type="dxa"/>
            <w:tcBorders>
              <w:top w:val="single" w:color="000000" w:sz="6" w:space="0"/>
              <w:left w:val="single" w:color="000000" w:sz="6" w:space="0"/>
              <w:bottom w:val="single" w:color="000000" w:sz="6" w:space="0"/>
              <w:right w:val="single" w:color="000000" w:sz="6" w:space="0"/>
            </w:tcBorders>
          </w:tcPr>
          <w:p w14:paraId="0933E1EE">
            <w:pPr>
              <w:pStyle w:val="24"/>
              <w:rPr>
                <w:rFonts w:ascii="Times New Roman"/>
              </w:rPr>
            </w:pPr>
          </w:p>
        </w:tc>
        <w:tc>
          <w:tcPr>
            <w:tcW w:w="3026" w:type="dxa"/>
            <w:tcBorders>
              <w:top w:val="single" w:color="000000" w:sz="6" w:space="0"/>
              <w:left w:val="single" w:color="000000" w:sz="6" w:space="0"/>
              <w:bottom w:val="single" w:color="000000" w:sz="6" w:space="0"/>
              <w:right w:val="single" w:color="000000" w:sz="6" w:space="0"/>
            </w:tcBorders>
          </w:tcPr>
          <w:p w14:paraId="6AC62742">
            <w:pPr>
              <w:pStyle w:val="24"/>
              <w:rPr>
                <w:rFonts w:ascii="Times New Roman"/>
              </w:rPr>
            </w:pPr>
          </w:p>
        </w:tc>
        <w:tc>
          <w:tcPr>
            <w:tcW w:w="757" w:type="dxa"/>
            <w:tcBorders>
              <w:top w:val="single" w:color="000000" w:sz="6" w:space="0"/>
              <w:left w:val="single" w:color="000000" w:sz="6" w:space="0"/>
              <w:bottom w:val="single" w:color="000000" w:sz="6" w:space="0"/>
              <w:right w:val="single" w:color="000000" w:sz="6" w:space="0"/>
            </w:tcBorders>
          </w:tcPr>
          <w:p w14:paraId="7B937054">
            <w:pPr>
              <w:pStyle w:val="24"/>
              <w:rPr>
                <w:rFonts w:ascii="Times New Roman"/>
              </w:rPr>
            </w:pPr>
          </w:p>
        </w:tc>
        <w:tc>
          <w:tcPr>
            <w:tcW w:w="1324" w:type="dxa"/>
            <w:tcBorders>
              <w:top w:val="single" w:color="000000" w:sz="6" w:space="0"/>
              <w:left w:val="single" w:color="000000" w:sz="6" w:space="0"/>
              <w:bottom w:val="single" w:color="000000" w:sz="6" w:space="0"/>
              <w:right w:val="single" w:color="000000" w:sz="6" w:space="0"/>
            </w:tcBorders>
          </w:tcPr>
          <w:p w14:paraId="6E5B008D">
            <w:pPr>
              <w:pStyle w:val="24"/>
              <w:rPr>
                <w:rFonts w:ascii="Times New Roman"/>
              </w:rPr>
            </w:pPr>
          </w:p>
        </w:tc>
        <w:tc>
          <w:tcPr>
            <w:tcW w:w="1513" w:type="dxa"/>
            <w:tcBorders>
              <w:top w:val="single" w:color="000000" w:sz="6" w:space="0"/>
              <w:left w:val="single" w:color="000000" w:sz="6" w:space="0"/>
              <w:bottom w:val="single" w:color="000000" w:sz="6" w:space="0"/>
            </w:tcBorders>
          </w:tcPr>
          <w:p w14:paraId="3AC83318">
            <w:pPr>
              <w:pStyle w:val="24"/>
              <w:rPr>
                <w:rFonts w:ascii="Times New Roman"/>
              </w:rPr>
            </w:pPr>
          </w:p>
        </w:tc>
      </w:tr>
      <w:tr w14:paraId="548CBD8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2" w:hRule="atLeast"/>
        </w:trPr>
        <w:tc>
          <w:tcPr>
            <w:tcW w:w="2951" w:type="dxa"/>
            <w:gridSpan w:val="2"/>
            <w:vMerge w:val="restart"/>
            <w:tcBorders>
              <w:top w:val="single" w:color="000000" w:sz="6" w:space="0"/>
              <w:right w:val="single" w:color="000000" w:sz="6" w:space="0"/>
            </w:tcBorders>
          </w:tcPr>
          <w:p w14:paraId="1D1AE1E5">
            <w:pPr>
              <w:pStyle w:val="24"/>
              <w:spacing w:before="9"/>
              <w:rPr>
                <w:rFonts w:ascii="新宋体"/>
                <w:sz w:val="19"/>
              </w:rPr>
            </w:pPr>
          </w:p>
          <w:p w14:paraId="4F567B76">
            <w:pPr>
              <w:pStyle w:val="24"/>
              <w:ind w:left="585"/>
              <w:rPr>
                <w:rFonts w:ascii="新宋体" w:eastAsia="新宋体"/>
              </w:rPr>
            </w:pPr>
            <w:r>
              <w:rPr>
                <w:rFonts w:hint="eastAsia" w:ascii="新宋体" w:eastAsia="新宋体"/>
              </w:rPr>
              <w:t>合同总金额（元）</w:t>
            </w:r>
          </w:p>
        </w:tc>
        <w:tc>
          <w:tcPr>
            <w:tcW w:w="6620" w:type="dxa"/>
            <w:gridSpan w:val="4"/>
            <w:tcBorders>
              <w:top w:val="single" w:color="000000" w:sz="6" w:space="0"/>
              <w:left w:val="single" w:color="000000" w:sz="6" w:space="0"/>
              <w:bottom w:val="single" w:color="000000" w:sz="6" w:space="0"/>
            </w:tcBorders>
          </w:tcPr>
          <w:p w14:paraId="07D2D775">
            <w:pPr>
              <w:pStyle w:val="24"/>
              <w:spacing w:before="35"/>
              <w:ind w:left="105"/>
              <w:rPr>
                <w:rFonts w:ascii="新宋体" w:eastAsia="新宋体"/>
              </w:rPr>
            </w:pPr>
            <w:r>
              <w:rPr>
                <w:rFonts w:hint="eastAsia" w:ascii="新宋体" w:eastAsia="新宋体"/>
              </w:rPr>
              <w:t>小写：</w:t>
            </w:r>
          </w:p>
        </w:tc>
      </w:tr>
      <w:tr w14:paraId="28B2A81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2" w:hRule="atLeast"/>
        </w:trPr>
        <w:tc>
          <w:tcPr>
            <w:tcW w:w="2951" w:type="dxa"/>
            <w:gridSpan w:val="2"/>
            <w:vMerge w:val="continue"/>
            <w:tcBorders>
              <w:top w:val="nil"/>
              <w:right w:val="single" w:color="000000" w:sz="6" w:space="0"/>
            </w:tcBorders>
          </w:tcPr>
          <w:p w14:paraId="7B3BDA05">
            <w:pPr>
              <w:rPr>
                <w:sz w:val="2"/>
                <w:szCs w:val="2"/>
              </w:rPr>
            </w:pPr>
          </w:p>
        </w:tc>
        <w:tc>
          <w:tcPr>
            <w:tcW w:w="6620" w:type="dxa"/>
            <w:gridSpan w:val="4"/>
            <w:tcBorders>
              <w:top w:val="single" w:color="000000" w:sz="6" w:space="0"/>
              <w:left w:val="single" w:color="000000" w:sz="6" w:space="0"/>
            </w:tcBorders>
          </w:tcPr>
          <w:p w14:paraId="732C0123">
            <w:pPr>
              <w:pStyle w:val="24"/>
              <w:spacing w:before="27"/>
              <w:ind w:left="105"/>
              <w:rPr>
                <w:rFonts w:ascii="新宋体" w:eastAsia="新宋体"/>
              </w:rPr>
            </w:pPr>
            <w:r>
              <w:rPr>
                <w:rFonts w:hint="eastAsia" w:ascii="新宋体" w:eastAsia="新宋体"/>
              </w:rPr>
              <w:t>大写：</w:t>
            </w:r>
          </w:p>
        </w:tc>
      </w:tr>
    </w:tbl>
    <w:p w14:paraId="77F85735">
      <w:pPr>
        <w:tabs>
          <w:tab w:val="left" w:pos="659"/>
        </w:tabs>
        <w:spacing w:line="480" w:lineRule="exact"/>
        <w:ind w:right="536"/>
        <w:rPr>
          <w:rFonts w:ascii="新宋体" w:eastAsia="新宋体"/>
          <w:b/>
          <w:spacing w:val="-19"/>
          <w:w w:val="95"/>
          <w:sz w:val="24"/>
        </w:rPr>
      </w:pPr>
      <w:r>
        <w:rPr>
          <w:rFonts w:hint="eastAsia" w:ascii="新宋体" w:eastAsia="新宋体"/>
          <w:b/>
          <w:w w:val="95"/>
          <w:sz w:val="24"/>
        </w:rPr>
        <w:t>说明：此费用包括卖方将货物运到买方指定位置并安装调试和验收等所有费用</w:t>
      </w:r>
      <w:r>
        <w:rPr>
          <w:rFonts w:hint="eastAsia" w:ascii="新宋体" w:eastAsia="新宋体"/>
          <w:b/>
          <w:w w:val="95"/>
          <w:sz w:val="24"/>
          <w:lang w:eastAsia="zh-CN"/>
        </w:rPr>
        <w:t>，</w:t>
      </w:r>
      <w:r>
        <w:rPr>
          <w:rFonts w:hint="eastAsia" w:ascii="新宋体" w:eastAsia="新宋体"/>
          <w:b/>
          <w:w w:val="95"/>
          <w:sz w:val="24"/>
          <w:lang w:val="en-US" w:eastAsia="zh-CN"/>
        </w:rPr>
        <w:t>但所有运费、税费、安装费等不单列出，均分摊到货物中</w:t>
      </w:r>
      <w:r>
        <w:rPr>
          <w:rFonts w:hint="eastAsia" w:ascii="新宋体" w:eastAsia="新宋体"/>
          <w:b/>
          <w:spacing w:val="-19"/>
          <w:w w:val="95"/>
          <w:sz w:val="24"/>
        </w:rPr>
        <w:t>。</w:t>
      </w:r>
    </w:p>
    <w:p w14:paraId="5303D1CE">
      <w:pPr>
        <w:tabs>
          <w:tab w:val="left" w:pos="659"/>
        </w:tabs>
        <w:spacing w:line="480" w:lineRule="exact"/>
        <w:ind w:right="536"/>
        <w:rPr>
          <w:rFonts w:ascii="新宋体" w:eastAsia="新宋体"/>
          <w:b/>
          <w:sz w:val="24"/>
        </w:rPr>
      </w:pPr>
      <w:r>
        <w:rPr>
          <w:rFonts w:hint="eastAsia" w:ascii="新宋体" w:eastAsia="新宋体"/>
          <w:b/>
          <w:spacing w:val="-19"/>
          <w:w w:val="95"/>
          <w:sz w:val="24"/>
        </w:rPr>
        <w:t xml:space="preserve"> </w:t>
      </w:r>
      <w:r>
        <w:rPr>
          <w:rFonts w:hint="eastAsia" w:ascii="新宋体" w:eastAsia="新宋体"/>
          <w:b/>
          <w:sz w:val="24"/>
        </w:rPr>
        <w:t>二</w:t>
      </w:r>
      <w:r>
        <w:rPr>
          <w:rFonts w:hint="eastAsia" w:ascii="新宋体" w:eastAsia="新宋体"/>
          <w:b/>
          <w:sz w:val="24"/>
        </w:rPr>
        <w:tab/>
      </w:r>
      <w:r>
        <w:rPr>
          <w:rFonts w:hint="eastAsia" w:ascii="新宋体" w:eastAsia="新宋体"/>
          <w:b/>
          <w:sz w:val="24"/>
        </w:rPr>
        <w:t>技术资料：</w:t>
      </w:r>
    </w:p>
    <w:p w14:paraId="7AD3D457">
      <w:pPr>
        <w:spacing w:before="118" w:line="480" w:lineRule="exact"/>
        <w:ind w:right="536"/>
        <w:rPr>
          <w:rFonts w:ascii="新宋体" w:eastAsia="新宋体"/>
          <w:sz w:val="24"/>
        </w:rPr>
      </w:pPr>
      <w:r>
        <w:rPr>
          <w:rFonts w:hint="eastAsia" w:ascii="新宋体" w:eastAsia="新宋体"/>
          <w:sz w:val="24"/>
        </w:rPr>
        <w:t>卖方应向用户提供以下技术文件：</w:t>
      </w:r>
    </w:p>
    <w:p w14:paraId="1D03FFF2">
      <w:pPr>
        <w:spacing w:before="118" w:line="480" w:lineRule="exact"/>
        <w:ind w:right="536" w:firstLine="240" w:firstLineChars="100"/>
        <w:rPr>
          <w:rFonts w:ascii="新宋体" w:eastAsia="新宋体"/>
          <w:sz w:val="24"/>
        </w:rPr>
      </w:pPr>
      <w:r>
        <w:rPr>
          <w:rFonts w:hint="eastAsia" w:ascii="新宋体" w:eastAsia="新宋体"/>
          <w:sz w:val="24"/>
        </w:rPr>
        <w:t>1、 设备使用手册、安装使用指南、维护维修（含线路图）说明书或服务手册。所有资料必须提供中、英文对照文本；</w:t>
      </w:r>
    </w:p>
    <w:p w14:paraId="4F039201">
      <w:pPr>
        <w:spacing w:line="480" w:lineRule="exact"/>
        <w:ind w:right="536" w:firstLine="240" w:firstLineChars="100"/>
        <w:rPr>
          <w:rFonts w:ascii="新宋体" w:eastAsia="新宋体"/>
          <w:sz w:val="24"/>
        </w:rPr>
      </w:pPr>
      <w:r>
        <w:rPr>
          <w:rFonts w:hint="eastAsia" w:ascii="新宋体" w:eastAsia="新宋体"/>
          <w:sz w:val="24"/>
        </w:rPr>
        <w:t>2、 设备技术参数表、设备制造、安装、调试、验收规范；</w:t>
      </w:r>
    </w:p>
    <w:p w14:paraId="491787F2">
      <w:pPr>
        <w:spacing w:before="118" w:line="480" w:lineRule="exact"/>
        <w:ind w:right="536" w:firstLine="240" w:firstLineChars="100"/>
        <w:rPr>
          <w:rFonts w:ascii="新宋体" w:eastAsia="新宋体"/>
          <w:sz w:val="24"/>
        </w:rPr>
      </w:pPr>
      <w:r>
        <w:rPr>
          <w:rFonts w:hint="eastAsia" w:ascii="新宋体" w:eastAsia="新宋体"/>
          <w:sz w:val="24"/>
        </w:rPr>
        <w:t>3、 中文操作手册、安装、调试及使用说明书；</w:t>
      </w:r>
    </w:p>
    <w:p w14:paraId="3F39E06B">
      <w:pPr>
        <w:spacing w:before="118" w:line="480" w:lineRule="exact"/>
        <w:ind w:right="536" w:firstLine="240" w:firstLineChars="100"/>
        <w:rPr>
          <w:rFonts w:ascii="新宋体" w:eastAsia="新宋体"/>
          <w:sz w:val="24"/>
        </w:rPr>
      </w:pPr>
      <w:r>
        <w:rPr>
          <w:rFonts w:hint="eastAsia" w:ascii="新宋体" w:eastAsia="新宋体"/>
          <w:sz w:val="24"/>
        </w:rPr>
        <w:t>4、 出厂检验证书、合格证、设备样本（产品彩页）、权威性检验报告；</w:t>
      </w:r>
    </w:p>
    <w:p w14:paraId="007DE414">
      <w:pPr>
        <w:spacing w:before="119" w:line="480" w:lineRule="exact"/>
        <w:ind w:right="536" w:firstLine="240" w:firstLineChars="100"/>
        <w:rPr>
          <w:rFonts w:ascii="新宋体" w:eastAsia="新宋体"/>
          <w:sz w:val="24"/>
        </w:rPr>
      </w:pPr>
      <w:r>
        <w:rPr>
          <w:rFonts w:hint="eastAsia" w:ascii="新宋体" w:eastAsia="新宋体"/>
          <w:sz w:val="24"/>
        </w:rPr>
        <w:t>5、 进口货物的合格证、保修卡、装箱单、附件目录等其他相关技术资料等；</w:t>
      </w:r>
    </w:p>
    <w:p w14:paraId="438562F0">
      <w:pPr>
        <w:spacing w:before="118" w:line="480" w:lineRule="exact"/>
        <w:ind w:right="536" w:firstLine="240" w:firstLineChars="100"/>
        <w:rPr>
          <w:rFonts w:ascii="新宋体" w:eastAsia="新宋体"/>
          <w:sz w:val="24"/>
        </w:rPr>
      </w:pPr>
      <w:r>
        <w:rPr>
          <w:rFonts w:hint="eastAsia" w:ascii="新宋体" w:eastAsia="新宋体"/>
          <w:sz w:val="24"/>
        </w:rPr>
        <w:t>6、 须提供海关报关单（如为进口设备）；</w:t>
      </w:r>
    </w:p>
    <w:p w14:paraId="1885377D">
      <w:pPr>
        <w:tabs>
          <w:tab w:val="left" w:pos="657"/>
        </w:tabs>
        <w:spacing w:line="480" w:lineRule="exact"/>
        <w:ind w:right="536"/>
        <w:rPr>
          <w:rFonts w:ascii="新宋体" w:eastAsia="新宋体"/>
          <w:b/>
          <w:sz w:val="24"/>
        </w:rPr>
      </w:pPr>
      <w:r>
        <w:rPr>
          <w:rFonts w:hint="eastAsia" w:ascii="新宋体" w:eastAsia="新宋体"/>
          <w:b/>
          <w:sz w:val="24"/>
        </w:rPr>
        <w:t>三</w:t>
      </w:r>
      <w:r>
        <w:rPr>
          <w:rFonts w:hint="eastAsia" w:ascii="新宋体" w:eastAsia="新宋体"/>
          <w:b/>
          <w:sz w:val="24"/>
        </w:rPr>
        <w:tab/>
      </w:r>
      <w:r>
        <w:rPr>
          <w:rFonts w:hint="eastAsia" w:ascii="新宋体" w:eastAsia="新宋体"/>
          <w:b/>
          <w:sz w:val="24"/>
        </w:rPr>
        <w:t>质量保证：</w:t>
      </w:r>
    </w:p>
    <w:p w14:paraId="0642DDE1">
      <w:pPr>
        <w:spacing w:before="118" w:line="480" w:lineRule="exact"/>
        <w:ind w:right="536" w:firstLine="240" w:firstLineChars="100"/>
        <w:rPr>
          <w:rFonts w:ascii="新宋体" w:eastAsia="新宋体"/>
          <w:sz w:val="24"/>
        </w:rPr>
      </w:pPr>
      <w:r>
        <w:rPr>
          <w:rFonts w:hint="eastAsia" w:ascii="新宋体" w:eastAsia="新宋体"/>
          <w:sz w:val="24"/>
        </w:rPr>
        <w:t>1、 制造商应有完善的质量检测手段和质量保证体系。产品应符合国家标准和行业标准。卖方必须遵守《产品质量法》，卖方应对质量保证体系做出说明。</w:t>
      </w:r>
    </w:p>
    <w:p w14:paraId="1EE768EF">
      <w:pPr>
        <w:spacing w:line="480" w:lineRule="exact"/>
        <w:ind w:right="536" w:firstLine="240" w:firstLineChars="100"/>
        <w:rPr>
          <w:rFonts w:ascii="新宋体" w:eastAsia="新宋体"/>
          <w:sz w:val="24"/>
        </w:rPr>
      </w:pPr>
      <w:r>
        <w:rPr>
          <w:rFonts w:hint="eastAsia" w:ascii="新宋体" w:eastAsia="新宋体"/>
          <w:sz w:val="24"/>
        </w:rPr>
        <w:t>2、 卖方严格按照招标文件要求提供符合国家技术标准的产品。</w:t>
      </w:r>
    </w:p>
    <w:p w14:paraId="1E2BE4D4">
      <w:pPr>
        <w:spacing w:before="119" w:line="480" w:lineRule="exact"/>
        <w:ind w:right="536" w:firstLine="240" w:firstLineChars="100"/>
        <w:rPr>
          <w:rFonts w:ascii="新宋体" w:eastAsia="新宋体"/>
          <w:sz w:val="24"/>
        </w:rPr>
        <w:sectPr>
          <w:footerReference r:id="rId3" w:type="default"/>
          <w:pgSz w:w="11910" w:h="16840"/>
          <w:pgMar w:top="1560" w:right="995" w:bottom="780" w:left="1460" w:header="0" w:footer="500" w:gutter="0"/>
          <w:cols w:space="720" w:num="1"/>
        </w:sectPr>
      </w:pPr>
      <w:r>
        <w:rPr>
          <w:rFonts w:hint="eastAsia" w:ascii="新宋体" w:eastAsia="新宋体"/>
          <w:sz w:val="24"/>
        </w:rPr>
        <w:t>3、 卖方必须保证提供的货物是全新的，并且符合国家有关检测标准以及该产品的出厂标准。</w:t>
      </w:r>
    </w:p>
    <w:p w14:paraId="2BFC05F2">
      <w:pPr>
        <w:tabs>
          <w:tab w:val="left" w:pos="659"/>
        </w:tabs>
        <w:spacing w:before="58" w:line="480" w:lineRule="exact"/>
        <w:ind w:right="536"/>
        <w:rPr>
          <w:rFonts w:ascii="新宋体" w:eastAsia="新宋体"/>
          <w:b/>
          <w:sz w:val="24"/>
        </w:rPr>
      </w:pPr>
      <w:r>
        <w:rPr>
          <w:rFonts w:hint="eastAsia" w:ascii="新宋体" w:eastAsia="新宋体"/>
          <w:b/>
          <w:sz w:val="24"/>
        </w:rPr>
        <w:t>四</w:t>
      </w:r>
      <w:r>
        <w:rPr>
          <w:rFonts w:hint="eastAsia" w:ascii="新宋体" w:eastAsia="新宋体"/>
          <w:b/>
          <w:sz w:val="24"/>
        </w:rPr>
        <w:tab/>
      </w:r>
      <w:r>
        <w:rPr>
          <w:rFonts w:hint="eastAsia" w:ascii="新宋体" w:eastAsia="新宋体"/>
          <w:b/>
          <w:sz w:val="24"/>
        </w:rPr>
        <w:t>设备安装与验收：</w:t>
      </w:r>
    </w:p>
    <w:p w14:paraId="7BABB43A">
      <w:pPr>
        <w:spacing w:before="118" w:line="480" w:lineRule="exact"/>
        <w:ind w:right="536" w:firstLine="240" w:firstLineChars="100"/>
        <w:rPr>
          <w:rFonts w:ascii="新宋体" w:eastAsia="新宋体"/>
          <w:sz w:val="24"/>
        </w:rPr>
      </w:pPr>
      <w:r>
        <w:rPr>
          <w:rFonts w:hint="eastAsia" w:ascii="新宋体" w:eastAsia="新宋体"/>
          <w:sz w:val="24"/>
        </w:rPr>
        <w:t>1、 卖方应负责货物的采购、制作、</w:t>
      </w:r>
      <w:r>
        <w:rPr>
          <w:rFonts w:hint="eastAsia" w:ascii="新宋体" w:eastAsia="新宋体"/>
          <w:bCs/>
          <w:sz w:val="24"/>
        </w:rPr>
        <w:t>安装、调试，</w:t>
      </w:r>
      <w:r>
        <w:rPr>
          <w:rFonts w:hint="eastAsia" w:ascii="新宋体" w:eastAsia="新宋体"/>
          <w:sz w:val="24"/>
        </w:rPr>
        <w:t>按合同规定的时间交货后日内需安装、调试、验收完毕。</w:t>
      </w:r>
    </w:p>
    <w:p w14:paraId="6AEA19DE">
      <w:pPr>
        <w:spacing w:before="118" w:line="480" w:lineRule="exact"/>
        <w:ind w:right="536" w:firstLine="240" w:firstLineChars="100"/>
        <w:rPr>
          <w:rFonts w:ascii="新宋体" w:eastAsia="新宋体"/>
          <w:sz w:val="24"/>
        </w:rPr>
      </w:pPr>
      <w:r>
        <w:rPr>
          <w:rFonts w:hint="eastAsia" w:ascii="新宋体" w:eastAsia="新宋体"/>
          <w:sz w:val="24"/>
        </w:rPr>
        <w:t>2、 验收地点：用户单位。</w:t>
      </w:r>
    </w:p>
    <w:p w14:paraId="33DFA42E">
      <w:pPr>
        <w:spacing w:before="118" w:line="480" w:lineRule="exact"/>
        <w:ind w:right="536" w:firstLine="240" w:firstLineChars="100"/>
        <w:rPr>
          <w:rFonts w:ascii="新宋体" w:eastAsia="新宋体"/>
          <w:sz w:val="24"/>
        </w:rPr>
      </w:pPr>
      <w:r>
        <w:rPr>
          <w:rFonts w:hint="eastAsia" w:ascii="新宋体" w:eastAsia="新宋体"/>
          <w:sz w:val="24"/>
        </w:rPr>
        <w:t>3、 验收由买方组织有关专业人员，按招标文件技术要求提供的性能指标、国家及行业相关标准进行验收。卖方在投标书中应答的仪器、配置和仪器性能指标，将视为用户最终验收的配置和指标，所有设备必须提供商检合格的证明文件。</w:t>
      </w:r>
    </w:p>
    <w:p w14:paraId="25F23A11">
      <w:pPr>
        <w:spacing w:line="480" w:lineRule="exact"/>
        <w:ind w:right="536"/>
        <w:rPr>
          <w:rFonts w:ascii="新宋体" w:eastAsia="新宋体"/>
          <w:b/>
          <w:sz w:val="24"/>
        </w:rPr>
      </w:pPr>
      <w:r>
        <w:rPr>
          <w:rFonts w:hint="eastAsia" w:ascii="新宋体" w:eastAsia="新宋体"/>
          <w:b/>
          <w:sz w:val="24"/>
        </w:rPr>
        <w:t>五 培 训 ：</w:t>
      </w:r>
    </w:p>
    <w:p w14:paraId="47CE71D4">
      <w:pPr>
        <w:spacing w:before="118" w:line="480" w:lineRule="exact"/>
        <w:ind w:right="536" w:firstLine="480" w:firstLineChars="200"/>
        <w:rPr>
          <w:rFonts w:ascii="新宋体" w:eastAsia="新宋体"/>
          <w:sz w:val="24"/>
        </w:rPr>
      </w:pPr>
      <w:r>
        <w:rPr>
          <w:rFonts w:hint="eastAsia" w:ascii="新宋体" w:eastAsia="新宋体"/>
          <w:sz w:val="24"/>
        </w:rPr>
        <w:t>卖方负责对买方的有关使用、维护、维修人员进行安装、操作、维护维修培训，培训由卖方组织现场培训；被培训人员所需的资料等费用及培训所需的费用由卖方承担。免费提供现场培训，以保证买方工作人员掌握设备各种使用操作；</w:t>
      </w:r>
    </w:p>
    <w:p w14:paraId="6AF61E80">
      <w:pPr>
        <w:tabs>
          <w:tab w:val="left" w:pos="659"/>
        </w:tabs>
        <w:spacing w:line="480" w:lineRule="exact"/>
        <w:ind w:right="536"/>
        <w:rPr>
          <w:rFonts w:ascii="新宋体" w:eastAsia="新宋体"/>
          <w:b/>
          <w:sz w:val="24"/>
        </w:rPr>
      </w:pPr>
      <w:r>
        <w:rPr>
          <w:rFonts w:hint="eastAsia" w:ascii="新宋体" w:eastAsia="新宋体"/>
          <w:b/>
          <w:sz w:val="24"/>
        </w:rPr>
        <w:t>六</w:t>
      </w:r>
      <w:r>
        <w:rPr>
          <w:rFonts w:hint="eastAsia" w:ascii="新宋体" w:eastAsia="新宋体"/>
          <w:b/>
          <w:sz w:val="24"/>
        </w:rPr>
        <w:tab/>
      </w:r>
      <w:r>
        <w:rPr>
          <w:rFonts w:hint="eastAsia" w:ascii="新宋体" w:eastAsia="新宋体"/>
          <w:b/>
          <w:sz w:val="24"/>
        </w:rPr>
        <w:t>特殊工具：</w:t>
      </w:r>
    </w:p>
    <w:p w14:paraId="44053579">
      <w:pPr>
        <w:spacing w:before="118" w:line="480" w:lineRule="exact"/>
        <w:ind w:right="536" w:firstLine="476" w:firstLineChars="200"/>
        <w:rPr>
          <w:rFonts w:ascii="新宋体" w:eastAsia="新宋体"/>
          <w:sz w:val="24"/>
        </w:rPr>
      </w:pPr>
      <w:r>
        <w:rPr>
          <w:rFonts w:hint="eastAsia" w:ascii="新宋体" w:eastAsia="新宋体"/>
          <w:spacing w:val="-1"/>
          <w:sz w:val="24"/>
        </w:rPr>
        <w:t>卖方应向买方提供安装、维修所需的特殊专用工具及其清单，其费用应包括在合同价</w:t>
      </w:r>
      <w:r>
        <w:rPr>
          <w:rFonts w:hint="eastAsia" w:ascii="新宋体" w:eastAsia="新宋体"/>
          <w:sz w:val="24"/>
        </w:rPr>
        <w:t>格之内。</w:t>
      </w:r>
    </w:p>
    <w:p w14:paraId="0F110264">
      <w:pPr>
        <w:tabs>
          <w:tab w:val="left" w:pos="659"/>
        </w:tabs>
        <w:spacing w:line="480" w:lineRule="exact"/>
        <w:ind w:right="536"/>
        <w:rPr>
          <w:rFonts w:ascii="新宋体" w:eastAsia="新宋体"/>
          <w:b/>
          <w:sz w:val="24"/>
        </w:rPr>
      </w:pPr>
      <w:r>
        <w:rPr>
          <w:rFonts w:hint="eastAsia" w:ascii="新宋体" w:eastAsia="新宋体"/>
          <w:b/>
          <w:sz w:val="24"/>
        </w:rPr>
        <w:t>七</w:t>
      </w:r>
      <w:r>
        <w:rPr>
          <w:rFonts w:hint="eastAsia" w:ascii="新宋体" w:eastAsia="新宋体"/>
          <w:b/>
          <w:sz w:val="24"/>
        </w:rPr>
        <w:tab/>
      </w:r>
      <w:r>
        <w:rPr>
          <w:rFonts w:hint="eastAsia" w:ascii="新宋体" w:eastAsia="新宋体"/>
          <w:b/>
          <w:w w:val="95"/>
          <w:sz w:val="24"/>
        </w:rPr>
        <w:t>质保期：</w:t>
      </w:r>
    </w:p>
    <w:p w14:paraId="3341E923">
      <w:pPr>
        <w:spacing w:before="118" w:line="480" w:lineRule="exact"/>
        <w:ind w:right="536" w:firstLine="480" w:firstLineChars="200"/>
        <w:rPr>
          <w:rFonts w:ascii="新宋体" w:eastAsia="新宋体"/>
          <w:sz w:val="24"/>
        </w:rPr>
      </w:pPr>
      <w:r>
        <w:rPr>
          <w:rFonts w:hint="eastAsia" w:ascii="新宋体" w:eastAsia="新宋体"/>
          <w:bCs/>
          <w:sz w:val="24"/>
        </w:rPr>
        <w:t>质保期为验收合格后</w:t>
      </w:r>
      <w:r>
        <w:rPr>
          <w:rFonts w:hint="eastAsia" w:ascii="新宋体" w:eastAsia="新宋体"/>
          <w:bCs/>
          <w:sz w:val="24"/>
          <w:u w:val="thick"/>
        </w:rPr>
        <w:t>12</w:t>
      </w:r>
      <w:r>
        <w:rPr>
          <w:rFonts w:hint="eastAsia" w:ascii="新宋体" w:eastAsia="新宋体"/>
          <w:bCs/>
          <w:sz w:val="24"/>
        </w:rPr>
        <w:t>个月</w:t>
      </w:r>
      <w:r>
        <w:rPr>
          <w:rFonts w:hint="eastAsia" w:ascii="新宋体" w:eastAsia="新宋体"/>
          <w:sz w:val="24"/>
        </w:rPr>
        <w:t>（各品目有具体要求的按照设备要求）。在质保期内，如有质量问题，卖方应免费更换。</w:t>
      </w:r>
    </w:p>
    <w:p w14:paraId="250D09B0">
      <w:pPr>
        <w:tabs>
          <w:tab w:val="left" w:pos="659"/>
        </w:tabs>
        <w:spacing w:before="1" w:line="480" w:lineRule="exact"/>
        <w:ind w:right="536"/>
        <w:rPr>
          <w:rFonts w:ascii="新宋体" w:eastAsia="新宋体"/>
          <w:b/>
          <w:sz w:val="24"/>
        </w:rPr>
      </w:pPr>
      <w:r>
        <w:rPr>
          <w:rFonts w:hint="eastAsia" w:ascii="新宋体" w:eastAsia="新宋体"/>
          <w:b/>
          <w:sz w:val="24"/>
        </w:rPr>
        <w:t>八</w:t>
      </w:r>
      <w:r>
        <w:rPr>
          <w:rFonts w:hint="eastAsia" w:ascii="新宋体" w:eastAsia="新宋体"/>
          <w:b/>
          <w:sz w:val="24"/>
        </w:rPr>
        <w:tab/>
      </w:r>
      <w:r>
        <w:rPr>
          <w:rFonts w:hint="eastAsia" w:ascii="新宋体" w:eastAsia="新宋体"/>
          <w:b/>
          <w:sz w:val="24"/>
        </w:rPr>
        <w:t>备品备件：</w:t>
      </w:r>
    </w:p>
    <w:p w14:paraId="0E33C70E">
      <w:pPr>
        <w:spacing w:before="118" w:line="480" w:lineRule="exact"/>
        <w:ind w:right="536" w:firstLine="240" w:firstLineChars="100"/>
        <w:rPr>
          <w:rFonts w:ascii="新宋体" w:eastAsia="新宋体"/>
          <w:sz w:val="24"/>
        </w:rPr>
      </w:pPr>
      <w:r>
        <w:rPr>
          <w:rFonts w:hint="eastAsia" w:ascii="新宋体" w:eastAsia="新宋体"/>
          <w:sz w:val="24"/>
        </w:rPr>
        <w:t>1、 卖方应提供按出厂标准供应的备品备件清单。</w:t>
      </w:r>
    </w:p>
    <w:p w14:paraId="22A52DF6">
      <w:pPr>
        <w:spacing w:before="118" w:line="480" w:lineRule="exact"/>
        <w:ind w:right="536" w:firstLine="240" w:firstLineChars="100"/>
        <w:rPr>
          <w:rFonts w:ascii="新宋体" w:eastAsia="新宋体"/>
          <w:sz w:val="24"/>
        </w:rPr>
      </w:pPr>
      <w:r>
        <w:rPr>
          <w:rFonts w:hint="eastAsia" w:ascii="新宋体" w:eastAsia="新宋体"/>
          <w:sz w:val="24"/>
        </w:rPr>
        <w:t>2</w:t>
      </w:r>
      <w:r>
        <w:rPr>
          <w:rFonts w:hint="eastAsia" w:ascii="新宋体" w:eastAsia="新宋体"/>
          <w:spacing w:val="-1"/>
          <w:sz w:val="24"/>
        </w:rPr>
        <w:t>、 卖方应提供设备质保期所需的备品备件清单，该备品备件应随机附带，价格包括在合同</w:t>
      </w:r>
      <w:r>
        <w:rPr>
          <w:rFonts w:hint="eastAsia" w:ascii="新宋体" w:eastAsia="新宋体"/>
          <w:sz w:val="24"/>
        </w:rPr>
        <w:t>价格之内。</w:t>
      </w:r>
    </w:p>
    <w:p w14:paraId="41C06204">
      <w:pPr>
        <w:tabs>
          <w:tab w:val="left" w:pos="659"/>
        </w:tabs>
        <w:spacing w:line="480" w:lineRule="exact"/>
        <w:ind w:right="536"/>
        <w:rPr>
          <w:rFonts w:ascii="新宋体" w:eastAsia="新宋体"/>
          <w:b/>
          <w:sz w:val="24"/>
        </w:rPr>
      </w:pPr>
      <w:r>
        <w:rPr>
          <w:rFonts w:hint="eastAsia" w:ascii="新宋体" w:eastAsia="新宋体"/>
          <w:b/>
          <w:sz w:val="24"/>
        </w:rPr>
        <w:t>九</w:t>
      </w:r>
      <w:r>
        <w:rPr>
          <w:rFonts w:hint="eastAsia" w:ascii="新宋体" w:eastAsia="新宋体"/>
          <w:b/>
          <w:sz w:val="24"/>
        </w:rPr>
        <w:tab/>
      </w:r>
      <w:r>
        <w:rPr>
          <w:rFonts w:hint="eastAsia" w:ascii="新宋体" w:eastAsia="新宋体"/>
          <w:b/>
          <w:w w:val="95"/>
          <w:sz w:val="24"/>
        </w:rPr>
        <w:t>售后服务：</w:t>
      </w:r>
    </w:p>
    <w:p w14:paraId="3E5BB724">
      <w:pPr>
        <w:spacing w:before="118" w:line="480" w:lineRule="exact"/>
        <w:ind w:right="536" w:firstLine="240" w:firstLineChars="100"/>
        <w:rPr>
          <w:rFonts w:ascii="新宋体" w:eastAsia="新宋体"/>
          <w:sz w:val="24"/>
        </w:rPr>
      </w:pPr>
      <w:r>
        <w:rPr>
          <w:rFonts w:hint="eastAsia" w:ascii="新宋体" w:eastAsia="新宋体"/>
          <w:sz w:val="24"/>
        </w:rPr>
        <w:t>1、 在货物的质保期内，如有制造质量的问题或质量缺陷，卖方应免费予以更换，保证用户工作及时正常运行。在用户使用的头三个月内，同一台设备出现第二次质量问题，卖方应免费整体更换。卖方须在质保期内应免费提供备件并终身维修。</w:t>
      </w:r>
    </w:p>
    <w:p w14:paraId="091A07D4">
      <w:pPr>
        <w:spacing w:line="480" w:lineRule="exact"/>
        <w:ind w:right="536" w:firstLine="240" w:firstLineChars="100"/>
        <w:rPr>
          <w:rFonts w:ascii="新宋体" w:eastAsia="新宋体"/>
          <w:sz w:val="24"/>
        </w:rPr>
      </w:pPr>
      <w:r>
        <w:rPr>
          <w:rFonts w:hint="eastAsia" w:ascii="新宋体" w:eastAsia="新宋体"/>
          <w:sz w:val="24"/>
        </w:rPr>
        <w:t>2、 卖方应在质保期内提供免费上门维修服务，并进行终身维护，需注明售后服务机构的名称、联系方法并提供证明材料。</w:t>
      </w:r>
    </w:p>
    <w:p w14:paraId="58CD61CA">
      <w:pPr>
        <w:spacing w:line="480" w:lineRule="exact"/>
        <w:ind w:right="536" w:firstLine="240" w:firstLineChars="100"/>
        <w:rPr>
          <w:rFonts w:ascii="新宋体" w:eastAsia="新宋体"/>
          <w:sz w:val="24"/>
        </w:rPr>
      </w:pPr>
      <w:r>
        <w:rPr>
          <w:rFonts w:hint="eastAsia" w:ascii="新宋体" w:eastAsia="新宋体"/>
          <w:sz w:val="24"/>
        </w:rPr>
        <w:t>3、 卖方在接到买方报修通知后，须在响应时间内修复，省内12小时内赶到工作现场、省外24小时内赶到工作现场。如果卖方收到买方通知后，未在规定的响应时间内赶到现场弥补缺陷，买方可采取必要的补救措施，但风险和费用全部由卖方承担。</w:t>
      </w:r>
    </w:p>
    <w:p w14:paraId="0F43333B">
      <w:pPr>
        <w:tabs>
          <w:tab w:val="left" w:pos="659"/>
        </w:tabs>
        <w:spacing w:line="480" w:lineRule="exact"/>
        <w:ind w:right="536"/>
        <w:rPr>
          <w:rFonts w:ascii="新宋体" w:eastAsia="新宋体"/>
          <w:b/>
          <w:sz w:val="24"/>
        </w:rPr>
      </w:pPr>
      <w:r>
        <w:rPr>
          <w:rFonts w:hint="eastAsia" w:ascii="新宋体" w:eastAsia="新宋体"/>
          <w:b/>
          <w:sz w:val="24"/>
        </w:rPr>
        <w:t>十</w:t>
      </w:r>
      <w:r>
        <w:rPr>
          <w:rFonts w:hint="eastAsia" w:ascii="新宋体" w:eastAsia="新宋体"/>
          <w:b/>
          <w:sz w:val="24"/>
        </w:rPr>
        <w:tab/>
      </w:r>
      <w:r>
        <w:rPr>
          <w:rFonts w:hint="eastAsia" w:ascii="新宋体" w:eastAsia="新宋体"/>
          <w:b/>
          <w:sz w:val="24"/>
        </w:rPr>
        <w:t>交货时间、地点：</w:t>
      </w:r>
    </w:p>
    <w:p w14:paraId="51A37B11">
      <w:pPr>
        <w:spacing w:before="4" w:line="480" w:lineRule="exact"/>
        <w:ind w:right="536" w:firstLine="240" w:firstLineChars="100"/>
        <w:rPr>
          <w:rFonts w:ascii="新宋体" w:eastAsia="新宋体"/>
          <w:sz w:val="24"/>
        </w:rPr>
      </w:pPr>
      <w:r>
        <w:rPr>
          <w:rFonts w:hint="eastAsia" w:ascii="新宋体" w:eastAsia="新宋体"/>
          <w:sz w:val="24"/>
        </w:rPr>
        <w:t xml:space="preserve">1、 交货时间： </w:t>
      </w:r>
      <w:r>
        <w:rPr>
          <w:rFonts w:hint="eastAsia" w:ascii="新宋体" w:eastAsia="新宋体"/>
          <w:sz w:val="24"/>
          <w:lang w:val="en-US" w:eastAsia="zh-CN"/>
        </w:rPr>
        <w:t>45</w:t>
      </w:r>
      <w:r>
        <w:rPr>
          <w:rFonts w:hint="eastAsia" w:ascii="新宋体" w:eastAsia="新宋体"/>
          <w:sz w:val="24"/>
        </w:rPr>
        <w:t>日历天内</w:t>
      </w:r>
    </w:p>
    <w:p w14:paraId="4BC84A3E">
      <w:pPr>
        <w:spacing w:before="118" w:line="480" w:lineRule="exact"/>
        <w:ind w:right="536" w:firstLine="240" w:firstLineChars="100"/>
        <w:rPr>
          <w:rFonts w:ascii="新宋体" w:eastAsia="新宋体"/>
          <w:sz w:val="24"/>
        </w:rPr>
      </w:pPr>
      <w:r>
        <w:rPr>
          <w:rFonts w:hint="eastAsia" w:ascii="新宋体" w:eastAsia="新宋体"/>
          <w:sz w:val="24"/>
        </w:rPr>
        <w:t>2、 交货地点：招标人指定地点</w:t>
      </w:r>
    </w:p>
    <w:p w14:paraId="70588170">
      <w:pPr>
        <w:spacing w:before="118" w:line="480" w:lineRule="exact"/>
        <w:ind w:right="536"/>
        <w:rPr>
          <w:rFonts w:ascii="新宋体" w:eastAsia="新宋体"/>
          <w:b/>
          <w:sz w:val="24"/>
        </w:rPr>
      </w:pPr>
      <w:r>
        <w:rPr>
          <w:rFonts w:hint="eastAsia" w:ascii="新宋体" w:eastAsia="新宋体"/>
          <w:b/>
          <w:w w:val="95"/>
          <w:sz w:val="24"/>
        </w:rPr>
        <w:t>（</w:t>
      </w:r>
      <w:r>
        <w:rPr>
          <w:rFonts w:hint="eastAsia" w:ascii="新宋体" w:eastAsia="新宋体"/>
          <w:b/>
          <w:spacing w:val="-1"/>
          <w:w w:val="95"/>
          <w:sz w:val="24"/>
        </w:rPr>
        <w:t xml:space="preserve">注：如是进口设备须由中标人自行办理一切相关手续，若因手续问题导致无法交货，   </w:t>
      </w:r>
      <w:r>
        <w:rPr>
          <w:rFonts w:hint="eastAsia" w:ascii="新宋体" w:eastAsia="新宋体"/>
          <w:b/>
          <w:sz w:val="24"/>
        </w:rPr>
        <w:t>则全部责任由中标人承担。招标人有权进行重新采购。）</w:t>
      </w:r>
    </w:p>
    <w:p w14:paraId="55CBF3EC">
      <w:pPr>
        <w:tabs>
          <w:tab w:val="left" w:pos="879"/>
          <w:tab w:val="left" w:pos="1319"/>
        </w:tabs>
        <w:spacing w:line="480" w:lineRule="exact"/>
        <w:ind w:right="536"/>
        <w:rPr>
          <w:rFonts w:ascii="新宋体" w:eastAsia="新宋体"/>
          <w:b/>
          <w:sz w:val="24"/>
        </w:rPr>
      </w:pPr>
      <w:r>
        <w:rPr>
          <w:rFonts w:hint="eastAsia" w:ascii="新宋体" w:eastAsia="新宋体"/>
          <w:b/>
          <w:sz w:val="24"/>
        </w:rPr>
        <w:t>十一</w:t>
      </w:r>
      <w:r>
        <w:rPr>
          <w:rFonts w:hint="eastAsia" w:ascii="新宋体" w:eastAsia="新宋体"/>
          <w:b/>
          <w:sz w:val="24"/>
        </w:rPr>
        <w:tab/>
      </w:r>
      <w:r>
        <w:rPr>
          <w:rFonts w:hint="eastAsia" w:ascii="新宋体" w:eastAsia="新宋体"/>
          <w:b/>
          <w:sz w:val="24"/>
        </w:rPr>
        <w:t>支</w:t>
      </w:r>
      <w:r>
        <w:rPr>
          <w:rFonts w:hint="eastAsia" w:ascii="新宋体" w:eastAsia="新宋体"/>
          <w:b/>
          <w:sz w:val="24"/>
        </w:rPr>
        <w:tab/>
      </w:r>
      <w:r>
        <w:rPr>
          <w:rFonts w:hint="eastAsia" w:ascii="新宋体" w:eastAsia="新宋体"/>
          <w:b/>
          <w:sz w:val="24"/>
        </w:rPr>
        <w:t>付：</w:t>
      </w:r>
    </w:p>
    <w:p w14:paraId="40DB1345">
      <w:pPr>
        <w:spacing w:before="4" w:line="480" w:lineRule="exact"/>
        <w:ind w:right="536" w:firstLine="240" w:firstLineChars="100"/>
        <w:rPr>
          <w:rFonts w:ascii="新宋体" w:eastAsia="新宋体"/>
          <w:sz w:val="24"/>
        </w:rPr>
      </w:pPr>
      <w:r>
        <w:rPr>
          <w:rFonts w:hint="eastAsia" w:ascii="新宋体" w:eastAsia="新宋体"/>
          <w:sz w:val="24"/>
        </w:rPr>
        <w:t>1、 支付方式：合同签订后7天内支付合同价款的30%，货物到场安装前支付至合同价款的60%，安装验收合格后支付至合同价款的90%</w:t>
      </w:r>
      <w:r>
        <w:rPr>
          <w:rFonts w:hint="eastAsia" w:ascii="新宋体" w:eastAsia="新宋体"/>
          <w:sz w:val="24"/>
          <w:lang w:eastAsia="zh-CN"/>
        </w:rPr>
        <w:t>，</w:t>
      </w:r>
      <w:r>
        <w:rPr>
          <w:rFonts w:hint="eastAsia" w:ascii="新宋体" w:eastAsia="新宋体"/>
          <w:sz w:val="24"/>
          <w:lang w:val="en-US" w:eastAsia="zh-CN"/>
        </w:rPr>
        <w:t>同时开具全额增值税发票</w:t>
      </w:r>
      <w:r>
        <w:rPr>
          <w:rFonts w:hint="eastAsia" w:ascii="新宋体" w:eastAsia="新宋体"/>
          <w:sz w:val="24"/>
        </w:rPr>
        <w:t>，留10%的质保金</w:t>
      </w:r>
      <w:r>
        <w:rPr>
          <w:rFonts w:hint="eastAsia" w:ascii="新宋体" w:eastAsia="新宋体"/>
          <w:sz w:val="24"/>
          <w:lang w:eastAsia="zh-CN"/>
        </w:rPr>
        <w:t>，</w:t>
      </w:r>
      <w:r>
        <w:rPr>
          <w:rFonts w:hint="eastAsia" w:ascii="新宋体" w:eastAsia="新宋体"/>
          <w:sz w:val="24"/>
          <w:lang w:val="en-US" w:eastAsia="zh-CN"/>
        </w:rPr>
        <w:t>待一年质保期结束、质保验收合格后一次性付清</w:t>
      </w:r>
      <w:r>
        <w:rPr>
          <w:rFonts w:hint="eastAsia" w:ascii="新宋体" w:eastAsia="新宋体"/>
          <w:sz w:val="24"/>
        </w:rPr>
        <w:t>。</w:t>
      </w:r>
    </w:p>
    <w:p w14:paraId="245B4AFC">
      <w:pPr>
        <w:spacing w:before="4" w:line="480" w:lineRule="exact"/>
        <w:ind w:right="536" w:firstLine="240" w:firstLineChars="100"/>
        <w:rPr>
          <w:rFonts w:ascii="新宋体" w:eastAsia="新宋体"/>
          <w:sz w:val="24"/>
        </w:rPr>
      </w:pPr>
      <w:r>
        <w:rPr>
          <w:rFonts w:hint="eastAsia" w:ascii="新宋体" w:eastAsia="新宋体"/>
          <w:sz w:val="24"/>
        </w:rPr>
        <w:t>2、 付款单位：湖南省湘澧盐化有限责任公司</w:t>
      </w:r>
    </w:p>
    <w:p w14:paraId="2C841F50">
      <w:pPr>
        <w:spacing w:line="480" w:lineRule="exact"/>
        <w:ind w:right="536"/>
        <w:rPr>
          <w:rFonts w:ascii="新宋体" w:eastAsia="新宋体"/>
          <w:b/>
          <w:sz w:val="24"/>
        </w:rPr>
      </w:pPr>
      <w:r>
        <w:rPr>
          <w:rFonts w:hint="eastAsia" w:ascii="新宋体" w:eastAsia="新宋体"/>
          <w:b/>
          <w:sz w:val="24"/>
        </w:rPr>
        <w:t>十二 违约责任：</w:t>
      </w:r>
    </w:p>
    <w:p w14:paraId="2AE18A1F">
      <w:pPr>
        <w:pStyle w:val="22"/>
        <w:tabs>
          <w:tab w:val="left" w:pos="0"/>
        </w:tabs>
        <w:spacing w:line="480" w:lineRule="exact"/>
        <w:ind w:left="0" w:right="536" w:firstLine="240" w:firstLineChars="100"/>
        <w:rPr>
          <w:rFonts w:ascii="新宋体" w:hAnsi="新宋体" w:eastAsia="新宋体"/>
          <w:sz w:val="24"/>
          <w:szCs w:val="24"/>
        </w:rPr>
      </w:pPr>
      <w:r>
        <w:rPr>
          <w:rFonts w:hint="eastAsia" w:ascii="新宋体" w:hAnsi="新宋体" w:eastAsia="新宋体"/>
          <w:sz w:val="24"/>
          <w:szCs w:val="24"/>
          <w:lang w:val="en-US"/>
        </w:rPr>
        <w:t>1、</w:t>
      </w:r>
      <w:r>
        <w:rPr>
          <w:rFonts w:hint="eastAsia" w:ascii="新宋体" w:hAnsi="新宋体" w:eastAsia="新宋体"/>
          <w:sz w:val="24"/>
          <w:szCs w:val="24"/>
        </w:rPr>
        <w:t>乙方按合同规定时间将设备运到合同指定地点并交付甲方验收，乙方逾期交付设备的，每逾期一天，按照合同总价款的 5‰</w:t>
      </w:r>
      <w:r>
        <w:rPr>
          <w:rFonts w:hint="eastAsia" w:ascii="新宋体" w:hAnsi="新宋体" w:eastAsia="新宋体"/>
          <w:spacing w:val="-2"/>
          <w:sz w:val="24"/>
          <w:szCs w:val="24"/>
        </w:rPr>
        <w:t>向甲方支付违约金；乙方逾期交付设备，</w:t>
      </w:r>
      <w:r>
        <w:rPr>
          <w:rFonts w:hint="eastAsia" w:ascii="新宋体" w:eastAsia="新宋体"/>
          <w:sz w:val="24"/>
        </w:rPr>
        <w:t>超过15天，甲方有权单方解除合同，在此情况下，乙方除向甲方支付违约金外，还须赔偿由此给甲方造成的所有相关损失。</w:t>
      </w:r>
    </w:p>
    <w:p w14:paraId="4C6AD3CF">
      <w:pPr>
        <w:pStyle w:val="22"/>
        <w:tabs>
          <w:tab w:val="left" w:pos="0"/>
        </w:tabs>
        <w:spacing w:line="480" w:lineRule="exact"/>
        <w:ind w:left="0" w:right="536" w:firstLine="238" w:firstLineChars="100"/>
        <w:rPr>
          <w:rFonts w:ascii="新宋体" w:eastAsia="新宋体"/>
          <w:sz w:val="24"/>
          <w:szCs w:val="24"/>
        </w:rPr>
      </w:pPr>
      <w:r>
        <w:rPr>
          <w:rFonts w:hint="eastAsia" w:ascii="新宋体" w:eastAsia="新宋体"/>
          <w:spacing w:val="-1"/>
          <w:sz w:val="24"/>
          <w:szCs w:val="24"/>
          <w:lang w:val="en-US"/>
        </w:rPr>
        <w:t>2、</w:t>
      </w:r>
      <w:r>
        <w:rPr>
          <w:rFonts w:hint="eastAsia" w:ascii="新宋体" w:eastAsia="新宋体"/>
          <w:spacing w:val="-1"/>
          <w:sz w:val="24"/>
          <w:szCs w:val="24"/>
        </w:rPr>
        <w:t>甲方验收不合格的，甲方有权单方解除合同，在此情况下，乙方除向甲方支</w:t>
      </w:r>
      <w:r>
        <w:rPr>
          <w:rFonts w:hint="eastAsia" w:ascii="新宋体" w:eastAsia="新宋体"/>
          <w:sz w:val="24"/>
          <w:szCs w:val="24"/>
        </w:rPr>
        <w:t>付合同总价款的 10%的违约金外，还须赔偿由此给甲方造成的所有相关损失。</w:t>
      </w:r>
    </w:p>
    <w:p w14:paraId="1D93F5CF">
      <w:pPr>
        <w:pStyle w:val="22"/>
        <w:tabs>
          <w:tab w:val="left" w:pos="0"/>
        </w:tabs>
        <w:spacing w:line="480" w:lineRule="exact"/>
        <w:ind w:left="0" w:right="536" w:firstLine="240" w:firstLineChars="100"/>
        <w:rPr>
          <w:rFonts w:ascii="新宋体" w:eastAsia="新宋体"/>
          <w:sz w:val="24"/>
          <w:szCs w:val="24"/>
        </w:rPr>
      </w:pPr>
      <w:r>
        <w:rPr>
          <w:rFonts w:hint="eastAsia" w:ascii="新宋体" w:eastAsia="新宋体"/>
          <w:sz w:val="24"/>
          <w:szCs w:val="24"/>
          <w:lang w:val="en-US"/>
        </w:rPr>
        <w:t>3、</w:t>
      </w:r>
      <w:r>
        <w:rPr>
          <w:rFonts w:hint="eastAsia" w:ascii="新宋体" w:eastAsia="新宋体"/>
          <w:sz w:val="24"/>
          <w:szCs w:val="24"/>
        </w:rPr>
        <w:t>乙方将本采购项目转让（转包）给他人实施的，甲方有权单方解除合同，在此情况下，乙方除向甲方支付合同总价款的 10%</w:t>
      </w:r>
      <w:r>
        <w:rPr>
          <w:rFonts w:hint="eastAsia" w:ascii="新宋体" w:eastAsia="新宋体"/>
          <w:spacing w:val="-1"/>
          <w:sz w:val="24"/>
          <w:szCs w:val="24"/>
        </w:rPr>
        <w:t>的违约金外，乙方须赔偿给甲方造成的所有</w:t>
      </w:r>
      <w:r>
        <w:rPr>
          <w:rFonts w:hint="eastAsia" w:ascii="新宋体" w:eastAsia="新宋体"/>
          <w:sz w:val="24"/>
          <w:szCs w:val="24"/>
        </w:rPr>
        <w:t>相关损失。</w:t>
      </w:r>
    </w:p>
    <w:p w14:paraId="6D9548C2">
      <w:pPr>
        <w:pStyle w:val="22"/>
        <w:tabs>
          <w:tab w:val="left" w:pos="0"/>
        </w:tabs>
        <w:spacing w:line="480" w:lineRule="exact"/>
        <w:ind w:left="0" w:right="536" w:firstLine="240" w:firstLineChars="100"/>
        <w:rPr>
          <w:rFonts w:ascii="新宋体" w:eastAsia="新宋体"/>
          <w:sz w:val="24"/>
          <w:szCs w:val="24"/>
        </w:rPr>
      </w:pPr>
      <w:r>
        <w:rPr>
          <w:rFonts w:hint="eastAsia" w:ascii="新宋体" w:eastAsia="新宋体"/>
          <w:sz w:val="24"/>
          <w:szCs w:val="24"/>
          <w:lang w:val="en-US"/>
        </w:rPr>
        <w:t>4、</w:t>
      </w:r>
      <w:r>
        <w:rPr>
          <w:rFonts w:hint="eastAsia" w:ascii="新宋体" w:eastAsia="新宋体"/>
          <w:sz w:val="24"/>
          <w:szCs w:val="24"/>
        </w:rPr>
        <w:t>因乙方对所提供的设备或设备的任何一部分导致第三方提出侵犯其专利权、</w:t>
      </w:r>
      <w:r>
        <w:rPr>
          <w:rFonts w:hint="eastAsia" w:ascii="新宋体" w:eastAsia="新宋体"/>
          <w:spacing w:val="-1"/>
          <w:sz w:val="24"/>
          <w:szCs w:val="24"/>
        </w:rPr>
        <w:t>商标权、著作权或其它知识产权诉讼或者索赔的。乙方将承担由于侵犯第三方知识产权而引起的一切诉讼、索赔，并将支付终局的判决判定由甲方承担的损害赔偿与费用，以</w:t>
      </w:r>
      <w:r>
        <w:rPr>
          <w:rFonts w:hint="eastAsia" w:ascii="新宋体" w:eastAsia="新宋体"/>
          <w:sz w:val="24"/>
          <w:szCs w:val="24"/>
        </w:rPr>
        <w:t>及赔偿甲方给甲方造成的所有相关损失。</w:t>
      </w:r>
    </w:p>
    <w:p w14:paraId="43C8CF57">
      <w:pPr>
        <w:tabs>
          <w:tab w:val="left" w:pos="879"/>
          <w:tab w:val="left" w:pos="1319"/>
        </w:tabs>
        <w:spacing w:line="480" w:lineRule="exact"/>
        <w:ind w:right="536"/>
        <w:rPr>
          <w:rFonts w:ascii="新宋体" w:eastAsia="新宋体"/>
          <w:b/>
          <w:sz w:val="24"/>
        </w:rPr>
      </w:pPr>
      <w:r>
        <w:rPr>
          <w:rFonts w:hint="eastAsia" w:ascii="新宋体" w:eastAsia="新宋体"/>
          <w:b/>
          <w:sz w:val="24"/>
        </w:rPr>
        <w:t>十三</w:t>
      </w:r>
      <w:r>
        <w:rPr>
          <w:rFonts w:hint="eastAsia" w:ascii="新宋体" w:eastAsia="新宋体"/>
          <w:b/>
          <w:sz w:val="24"/>
        </w:rPr>
        <w:tab/>
      </w:r>
      <w:r>
        <w:rPr>
          <w:rFonts w:hint="eastAsia" w:ascii="新宋体" w:eastAsia="新宋体"/>
          <w:b/>
          <w:sz w:val="24"/>
        </w:rPr>
        <w:t>其</w:t>
      </w:r>
      <w:r>
        <w:rPr>
          <w:rFonts w:hint="eastAsia" w:ascii="新宋体" w:eastAsia="新宋体"/>
          <w:b/>
          <w:sz w:val="24"/>
        </w:rPr>
        <w:tab/>
      </w:r>
      <w:r>
        <w:rPr>
          <w:rFonts w:hint="eastAsia" w:ascii="新宋体" w:eastAsia="新宋体"/>
          <w:b/>
          <w:sz w:val="24"/>
        </w:rPr>
        <w:t>他：</w:t>
      </w:r>
    </w:p>
    <w:p w14:paraId="10A84D16">
      <w:pPr>
        <w:spacing w:before="118" w:line="480" w:lineRule="exact"/>
        <w:ind w:right="536"/>
        <w:rPr>
          <w:rFonts w:ascii="新宋体" w:eastAsia="新宋体"/>
          <w:sz w:val="24"/>
        </w:rPr>
      </w:pPr>
      <w:r>
        <w:rPr>
          <w:rFonts w:hint="eastAsia" w:ascii="新宋体" w:eastAsia="新宋体"/>
          <w:sz w:val="24"/>
        </w:rPr>
        <w:t>标志、包装、说明书、运输、贮存等都应执行国家的有关规定。</w:t>
      </w:r>
    </w:p>
    <w:p w14:paraId="50820EFB">
      <w:pPr>
        <w:spacing w:before="118" w:line="480" w:lineRule="exact"/>
        <w:ind w:right="536" w:firstLine="240" w:firstLineChars="100"/>
        <w:rPr>
          <w:rFonts w:ascii="新宋体" w:eastAsia="新宋体"/>
          <w:sz w:val="24"/>
        </w:rPr>
      </w:pPr>
      <w:r>
        <w:rPr>
          <w:rFonts w:hint="eastAsia" w:ascii="新宋体" w:eastAsia="新宋体"/>
          <w:sz w:val="24"/>
        </w:rPr>
        <w:t>1、 本合同经双方签字盖章生效。合同一式肆份，买方贰份、卖方贰份。</w:t>
      </w:r>
    </w:p>
    <w:p w14:paraId="2CF76CD1">
      <w:pPr>
        <w:spacing w:before="118" w:line="480" w:lineRule="exact"/>
        <w:ind w:right="536" w:firstLine="240" w:firstLineChars="100"/>
        <w:rPr>
          <w:rFonts w:ascii="新宋体" w:hAnsi="新宋体" w:eastAsia="新宋体"/>
          <w:sz w:val="24"/>
        </w:rPr>
      </w:pPr>
      <w:r>
        <w:rPr>
          <w:rFonts w:hint="eastAsia" w:ascii="新宋体" w:hAnsi="新宋体" w:eastAsia="新宋体"/>
          <w:sz w:val="24"/>
        </w:rPr>
        <w:t>2、 合同未尽事宜，双方协商解决，协商结果以“纪要”形式作为合同的附件，与合同具有同等的法律效力。</w:t>
      </w:r>
    </w:p>
    <w:p w14:paraId="476DB7E7">
      <w:pPr>
        <w:spacing w:before="58" w:line="480" w:lineRule="exact"/>
        <w:ind w:right="536" w:firstLine="240" w:firstLineChars="100"/>
        <w:rPr>
          <w:rFonts w:ascii="新宋体" w:eastAsia="新宋体"/>
          <w:sz w:val="24"/>
        </w:rPr>
      </w:pPr>
      <w:r>
        <w:rPr>
          <w:rFonts w:hint="eastAsia" w:ascii="新宋体" w:eastAsia="新宋体"/>
          <w:sz w:val="24"/>
        </w:rPr>
        <w:t>3、 下列文件属合同的依据和附件：</w:t>
      </w:r>
    </w:p>
    <w:p w14:paraId="32F965AC">
      <w:pPr>
        <w:spacing w:before="58" w:line="480" w:lineRule="exact"/>
        <w:ind w:right="536" w:firstLine="480" w:firstLineChars="200"/>
        <w:rPr>
          <w:rFonts w:ascii="新宋体" w:eastAsia="新宋体"/>
          <w:sz w:val="24"/>
        </w:rPr>
      </w:pPr>
      <w:r>
        <w:rPr>
          <w:rFonts w:hint="eastAsia" w:ascii="新宋体" w:eastAsia="新宋体"/>
          <w:sz w:val="24"/>
        </w:rPr>
        <w:t>a、文件、补充说明及中标通知书；</w:t>
      </w:r>
    </w:p>
    <w:p w14:paraId="4A40432E">
      <w:pPr>
        <w:spacing w:before="118" w:line="480" w:lineRule="exact"/>
        <w:ind w:right="536" w:firstLine="480" w:firstLineChars="200"/>
        <w:rPr>
          <w:rFonts w:ascii="新宋体" w:eastAsia="新宋体"/>
          <w:sz w:val="24"/>
        </w:rPr>
      </w:pPr>
      <w:r>
        <w:rPr>
          <w:rFonts w:hint="eastAsia" w:ascii="新宋体" w:eastAsia="新宋体"/>
          <w:sz w:val="24"/>
        </w:rPr>
        <w:t>b、投标书、投标补充说明、服务承诺；</w:t>
      </w:r>
    </w:p>
    <w:p w14:paraId="4DB4F57A">
      <w:pPr>
        <w:spacing w:before="118" w:line="480" w:lineRule="exact"/>
        <w:ind w:right="536" w:firstLine="240" w:firstLineChars="100"/>
        <w:rPr>
          <w:rFonts w:ascii="新宋体" w:eastAsia="新宋体"/>
          <w:sz w:val="24"/>
        </w:rPr>
      </w:pPr>
      <w:r>
        <w:rPr>
          <w:rFonts w:hint="eastAsia" w:ascii="新宋体" w:eastAsia="新宋体"/>
          <w:sz w:val="24"/>
        </w:rPr>
        <w:t>4、 在本合同签订三十天内，买方若增加购买数量，仍按本合同单价执行。</w:t>
      </w:r>
    </w:p>
    <w:p w14:paraId="0280172B">
      <w:pPr>
        <w:pStyle w:val="7"/>
        <w:spacing w:before="6" w:line="480" w:lineRule="exact"/>
        <w:ind w:right="536"/>
        <w:rPr>
          <w:rFonts w:ascii="新宋体"/>
          <w:sz w:val="24"/>
          <w:szCs w:val="24"/>
        </w:rPr>
      </w:pPr>
    </w:p>
    <w:p w14:paraId="5FFF13C9">
      <w:pPr>
        <w:spacing w:line="360" w:lineRule="auto"/>
        <w:rPr>
          <w:rFonts w:cs="Arial"/>
          <w:b/>
          <w:sz w:val="24"/>
        </w:rPr>
      </w:pPr>
      <w:r>
        <w:rPr>
          <w:rFonts w:hint="eastAsia" w:cs="Arial"/>
          <w:b/>
          <w:sz w:val="24"/>
        </w:rPr>
        <w:t>双方签字：</w:t>
      </w:r>
    </w:p>
    <w:tbl>
      <w:tblPr>
        <w:tblStyle w:val="14"/>
        <w:tblW w:w="52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630"/>
      </w:tblGrid>
      <w:tr w14:paraId="5DF9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508" w:type="pct"/>
            <w:vAlign w:val="center"/>
          </w:tcPr>
          <w:p w14:paraId="489B00F6">
            <w:pPr>
              <w:spacing w:line="360" w:lineRule="auto"/>
              <w:rPr>
                <w:rFonts w:ascii="宋体" w:hAnsi="宋体"/>
              </w:rPr>
            </w:pPr>
            <w:r>
              <w:rPr>
                <w:rFonts w:hint="eastAsia" w:ascii="宋体" w:hAnsi="宋体"/>
              </w:rPr>
              <w:t>甲  方：湖南省湘澧盐化有限责任公司</w:t>
            </w:r>
          </w:p>
          <w:p w14:paraId="3D10F189">
            <w:pPr>
              <w:spacing w:line="360" w:lineRule="auto"/>
              <w:ind w:left="840" w:hanging="840" w:hangingChars="400"/>
              <w:rPr>
                <w:rFonts w:ascii="宋体" w:hAnsi="宋体"/>
              </w:rPr>
            </w:pPr>
            <w:r>
              <w:rPr>
                <w:rFonts w:hint="eastAsia" w:ascii="宋体" w:hAnsi="宋体"/>
              </w:rPr>
              <w:t>住  所：常德市津市市襄阳街办事处盐矿社区</w:t>
            </w:r>
          </w:p>
          <w:p w14:paraId="36B022A6">
            <w:pPr>
              <w:spacing w:line="360" w:lineRule="auto"/>
              <w:ind w:right="536"/>
              <w:rPr>
                <w:rFonts w:ascii="新宋体" w:eastAsia="新宋体"/>
                <w:szCs w:val="21"/>
              </w:rPr>
            </w:pPr>
            <w:r>
              <w:rPr>
                <w:rFonts w:hint="eastAsia" w:ascii="新宋体" w:eastAsia="新宋体"/>
                <w:szCs w:val="21"/>
              </w:rPr>
              <w:t>开户银行：工商银行津市市支行</w:t>
            </w:r>
          </w:p>
          <w:p w14:paraId="50CFE737">
            <w:pPr>
              <w:spacing w:line="360" w:lineRule="auto"/>
              <w:ind w:left="840" w:hanging="840" w:hangingChars="400"/>
              <w:rPr>
                <w:rFonts w:ascii="宋体" w:hAnsi="宋体" w:eastAsia="新宋体"/>
              </w:rPr>
            </w:pPr>
            <w:r>
              <w:rPr>
                <w:rFonts w:hint="eastAsia" w:ascii="新宋体" w:eastAsia="新宋体"/>
                <w:szCs w:val="21"/>
              </w:rPr>
              <w:t>帐    号</w:t>
            </w:r>
            <w:r>
              <w:rPr>
                <w:rFonts w:hint="eastAsia" w:ascii="新宋体" w:eastAsia="新宋体"/>
                <w:sz w:val="24"/>
              </w:rPr>
              <w:t>：1908071609022107558</w:t>
            </w:r>
          </w:p>
          <w:p w14:paraId="77B4865D">
            <w:pPr>
              <w:spacing w:line="360" w:lineRule="auto"/>
              <w:rPr>
                <w:rFonts w:ascii="宋体" w:hAnsi="宋体"/>
              </w:rPr>
            </w:pPr>
            <w:r>
              <w:rPr>
                <w:rFonts w:hint="eastAsia" w:ascii="宋体" w:hAnsi="宋体"/>
              </w:rPr>
              <w:t xml:space="preserve">法定代表人或委托人：  </w:t>
            </w:r>
          </w:p>
          <w:p w14:paraId="12852E72">
            <w:pPr>
              <w:spacing w:line="360" w:lineRule="auto"/>
              <w:rPr>
                <w:rFonts w:ascii="宋体" w:hAnsi="宋体"/>
              </w:rPr>
            </w:pPr>
          </w:p>
          <w:p w14:paraId="0FA01E16">
            <w:pPr>
              <w:spacing w:line="360" w:lineRule="auto"/>
              <w:rPr>
                <w:rFonts w:ascii="宋体" w:hAnsi="宋体"/>
              </w:rPr>
            </w:pPr>
            <w:r>
              <w:rPr>
                <w:rFonts w:hint="eastAsia" w:ascii="宋体" w:hAnsi="宋体"/>
              </w:rPr>
              <w:t>日  期：</w:t>
            </w:r>
          </w:p>
        </w:tc>
        <w:tc>
          <w:tcPr>
            <w:tcW w:w="2492" w:type="pct"/>
            <w:vAlign w:val="center"/>
          </w:tcPr>
          <w:p w14:paraId="7EE77DAF">
            <w:pPr>
              <w:spacing w:line="360" w:lineRule="auto"/>
              <w:ind w:left="1680" w:hanging="1680" w:hangingChars="800"/>
              <w:rPr>
                <w:rFonts w:ascii="宋体" w:hAnsi="宋体"/>
              </w:rPr>
            </w:pPr>
            <w:r>
              <w:rPr>
                <w:rFonts w:hint="eastAsia" w:ascii="宋体" w:hAnsi="宋体"/>
              </w:rPr>
              <w:t xml:space="preserve">乙  方： </w:t>
            </w:r>
          </w:p>
          <w:p w14:paraId="391D5104">
            <w:pPr>
              <w:spacing w:line="360" w:lineRule="auto"/>
              <w:ind w:left="945" w:hanging="945" w:hangingChars="450"/>
              <w:rPr>
                <w:rFonts w:ascii="宋体" w:hAnsi="宋体"/>
              </w:rPr>
            </w:pPr>
            <w:r>
              <w:rPr>
                <w:rFonts w:hint="eastAsia" w:ascii="宋体" w:hAnsi="宋体"/>
              </w:rPr>
              <w:t>住  所：</w:t>
            </w:r>
          </w:p>
          <w:p w14:paraId="1DDF48D1">
            <w:pPr>
              <w:spacing w:line="360" w:lineRule="auto"/>
              <w:ind w:right="536"/>
              <w:rPr>
                <w:rFonts w:ascii="新宋体" w:eastAsia="新宋体"/>
                <w:szCs w:val="21"/>
              </w:rPr>
            </w:pPr>
            <w:r>
              <w:rPr>
                <w:rFonts w:hint="eastAsia" w:ascii="新宋体" w:eastAsia="新宋体"/>
                <w:szCs w:val="21"/>
              </w:rPr>
              <w:t>开户银行：</w:t>
            </w:r>
          </w:p>
          <w:p w14:paraId="42D316BE">
            <w:pPr>
              <w:spacing w:line="360" w:lineRule="auto"/>
              <w:ind w:left="840" w:hanging="840" w:hangingChars="400"/>
              <w:rPr>
                <w:rFonts w:ascii="宋体" w:hAnsi="宋体"/>
              </w:rPr>
            </w:pPr>
            <w:r>
              <w:rPr>
                <w:rFonts w:hint="eastAsia" w:ascii="新宋体" w:eastAsia="新宋体"/>
                <w:szCs w:val="21"/>
              </w:rPr>
              <w:t>帐    号</w:t>
            </w:r>
            <w:r>
              <w:rPr>
                <w:rFonts w:hint="eastAsia" w:ascii="新宋体" w:eastAsia="新宋体"/>
                <w:sz w:val="24"/>
              </w:rPr>
              <w:t>：</w:t>
            </w:r>
          </w:p>
          <w:p w14:paraId="263C8397">
            <w:pPr>
              <w:spacing w:line="360" w:lineRule="auto"/>
              <w:rPr>
                <w:rFonts w:ascii="宋体" w:hAnsi="宋体"/>
              </w:rPr>
            </w:pPr>
            <w:r>
              <w:rPr>
                <w:rFonts w:hint="eastAsia" w:ascii="宋体" w:hAnsi="宋体"/>
              </w:rPr>
              <w:t xml:space="preserve">法定代表人或委托人： </w:t>
            </w:r>
          </w:p>
          <w:p w14:paraId="079C9C95">
            <w:pPr>
              <w:spacing w:line="360" w:lineRule="auto"/>
              <w:rPr>
                <w:rFonts w:ascii="宋体" w:hAnsi="宋体"/>
              </w:rPr>
            </w:pPr>
          </w:p>
          <w:p w14:paraId="65CD20FC">
            <w:pPr>
              <w:spacing w:line="360" w:lineRule="auto"/>
              <w:rPr>
                <w:rFonts w:ascii="宋体" w:hAnsi="宋体"/>
              </w:rPr>
            </w:pPr>
            <w:r>
              <w:rPr>
                <w:rFonts w:hint="eastAsia" w:ascii="宋体" w:hAnsi="宋体"/>
              </w:rPr>
              <w:t xml:space="preserve">日  期： </w:t>
            </w:r>
          </w:p>
        </w:tc>
      </w:tr>
    </w:tbl>
    <w:p w14:paraId="67CEAFB0">
      <w:pPr>
        <w:tabs>
          <w:tab w:val="left" w:pos="6489"/>
          <w:tab w:val="left" w:pos="7149"/>
        </w:tabs>
        <w:spacing w:before="100" w:line="480" w:lineRule="exact"/>
        <w:ind w:right="536"/>
        <w:rPr>
          <w:rFonts w:ascii="新宋体" w:eastAsia="新宋体"/>
          <w:sz w:val="24"/>
        </w:rPr>
      </w:pPr>
    </w:p>
    <w:p w14:paraId="26979C07">
      <w:pPr>
        <w:tabs>
          <w:tab w:val="left" w:pos="6489"/>
          <w:tab w:val="left" w:pos="7149"/>
        </w:tabs>
        <w:spacing w:before="100" w:line="480" w:lineRule="exact"/>
        <w:ind w:right="536"/>
        <w:rPr>
          <w:rFonts w:ascii="新宋体" w:eastAsia="新宋体"/>
          <w:sz w:val="24"/>
        </w:rPr>
      </w:pPr>
    </w:p>
    <w:p w14:paraId="5C572263">
      <w:pPr>
        <w:tabs>
          <w:tab w:val="left" w:pos="6489"/>
          <w:tab w:val="left" w:pos="7149"/>
        </w:tabs>
        <w:spacing w:before="100" w:line="480" w:lineRule="exact"/>
        <w:ind w:right="536"/>
        <w:rPr>
          <w:rFonts w:ascii="新宋体" w:eastAsia="新宋体"/>
          <w:sz w:val="24"/>
        </w:rPr>
      </w:pPr>
    </w:p>
    <w:p w14:paraId="7C2A557D">
      <w:pPr>
        <w:tabs>
          <w:tab w:val="left" w:pos="6489"/>
          <w:tab w:val="left" w:pos="7149"/>
        </w:tabs>
        <w:spacing w:before="100" w:line="480" w:lineRule="exact"/>
        <w:ind w:right="536"/>
        <w:rPr>
          <w:rFonts w:ascii="新宋体" w:eastAsia="新宋体"/>
          <w:sz w:val="24"/>
        </w:rPr>
      </w:pPr>
    </w:p>
    <w:p w14:paraId="09D4F89E">
      <w:pPr>
        <w:pStyle w:val="24"/>
        <w:spacing w:before="12"/>
        <w:rPr>
          <w:rFonts w:asciiTheme="minorEastAsia" w:hAnsiTheme="minorEastAsia" w:eastAsiaTheme="minorEastAsia" w:cstheme="minorEastAsia"/>
          <w:kern w:val="2"/>
          <w:sz w:val="24"/>
          <w:szCs w:val="24"/>
          <w:lang w:val="en-US" w:bidi="ar-SA"/>
        </w:rPr>
      </w:pPr>
    </w:p>
    <w:p w14:paraId="5C46BE22">
      <w:pPr>
        <w:spacing w:before="28"/>
        <w:ind w:right="99"/>
        <w:jc w:val="center"/>
        <w:rPr>
          <w:rFonts w:cs="Microsoft JhengHei" w:asciiTheme="majorEastAsia" w:hAnsiTheme="majorEastAsia" w:eastAsiaTheme="majorEastAsia"/>
          <w:b/>
          <w:bCs/>
          <w:kern w:val="0"/>
          <w:sz w:val="44"/>
          <w:szCs w:val="44"/>
          <w:lang w:val="zh-CN" w:bidi="zh-CN"/>
        </w:rPr>
      </w:pPr>
    </w:p>
    <w:p w14:paraId="70ACBD54">
      <w:pPr>
        <w:spacing w:before="28"/>
        <w:ind w:right="99"/>
        <w:jc w:val="center"/>
        <w:rPr>
          <w:rFonts w:cs="Microsoft JhengHei" w:asciiTheme="majorEastAsia" w:hAnsiTheme="majorEastAsia" w:eastAsiaTheme="majorEastAsia"/>
          <w:b/>
          <w:bCs/>
          <w:kern w:val="0"/>
          <w:sz w:val="44"/>
          <w:szCs w:val="44"/>
          <w:lang w:val="zh-CN" w:bidi="zh-CN"/>
        </w:rPr>
      </w:pPr>
    </w:p>
    <w:p w14:paraId="7805D752">
      <w:pPr>
        <w:spacing w:before="28"/>
        <w:ind w:right="99"/>
        <w:rPr>
          <w:rFonts w:cs="Microsoft JhengHei" w:asciiTheme="majorEastAsia" w:hAnsiTheme="majorEastAsia" w:eastAsiaTheme="majorEastAsia"/>
          <w:b/>
          <w:bCs/>
          <w:kern w:val="0"/>
          <w:sz w:val="44"/>
          <w:szCs w:val="44"/>
          <w:lang w:val="zh-CN" w:bidi="zh-CN"/>
        </w:rPr>
      </w:pPr>
    </w:p>
    <w:p w14:paraId="22C56F92">
      <w:pPr>
        <w:spacing w:before="28"/>
        <w:ind w:right="99"/>
        <w:jc w:val="center"/>
        <w:rPr>
          <w:rFonts w:cs="Microsoft JhengHei" w:asciiTheme="majorEastAsia" w:hAnsiTheme="majorEastAsia" w:eastAsiaTheme="majorEastAsia"/>
          <w:b/>
          <w:bCs/>
          <w:kern w:val="0"/>
          <w:sz w:val="44"/>
          <w:szCs w:val="44"/>
          <w:lang w:val="zh-CN" w:bidi="zh-CN"/>
        </w:rPr>
      </w:pPr>
      <w:r>
        <w:rPr>
          <w:rFonts w:hint="eastAsia" w:cs="Microsoft JhengHei" w:asciiTheme="majorEastAsia" w:hAnsiTheme="majorEastAsia" w:eastAsiaTheme="majorEastAsia"/>
          <w:b/>
          <w:bCs/>
          <w:kern w:val="0"/>
          <w:sz w:val="44"/>
          <w:szCs w:val="44"/>
          <w:lang w:val="zh-CN" w:bidi="zh-CN"/>
        </w:rPr>
        <w:t>投标文件组成</w:t>
      </w:r>
    </w:p>
    <w:p w14:paraId="69EA14BA">
      <w:pPr>
        <w:spacing w:line="360" w:lineRule="exact"/>
        <w:rPr>
          <w:rFonts w:ascii="宋体"/>
        </w:rPr>
      </w:pPr>
    </w:p>
    <w:p w14:paraId="67435521">
      <w:pPr>
        <w:adjustRightInd w:val="0"/>
        <w:snapToGrid w:val="0"/>
        <w:spacing w:line="360" w:lineRule="auto"/>
        <w:rPr>
          <w:sz w:val="24"/>
        </w:rPr>
      </w:pPr>
      <w:r>
        <w:rPr>
          <w:rFonts w:hint="eastAsia"/>
          <w:sz w:val="24"/>
        </w:rPr>
        <w:t>供应商的响应文件应包含以下部分：</w:t>
      </w:r>
    </w:p>
    <w:p w14:paraId="3F13566D">
      <w:pPr>
        <w:autoSpaceDE w:val="0"/>
        <w:autoSpaceDN w:val="0"/>
        <w:adjustRightInd w:val="0"/>
        <w:spacing w:line="460" w:lineRule="exact"/>
        <w:rPr>
          <w:rFonts w:ascii="宋体" w:hAnsi="宋体"/>
          <w:color w:val="000000"/>
          <w:sz w:val="24"/>
        </w:rPr>
      </w:pPr>
      <w:r>
        <w:rPr>
          <w:rFonts w:hint="eastAsia"/>
          <w:sz w:val="24"/>
        </w:rPr>
        <w:t>一、</w:t>
      </w:r>
      <w:r>
        <w:rPr>
          <w:rFonts w:ascii="宋体" w:hAnsi="宋体"/>
          <w:color w:val="000000"/>
          <w:sz w:val="24"/>
        </w:rPr>
        <w:t>投标</w:t>
      </w:r>
      <w:r>
        <w:rPr>
          <w:rFonts w:hint="eastAsia" w:ascii="宋体" w:hAnsi="宋体"/>
          <w:color w:val="000000"/>
          <w:sz w:val="24"/>
        </w:rPr>
        <w:t>函</w:t>
      </w:r>
      <w:r>
        <w:rPr>
          <w:rFonts w:ascii="宋体" w:hAnsi="宋体"/>
          <w:color w:val="000000"/>
          <w:sz w:val="24"/>
        </w:rPr>
        <w:t>；</w:t>
      </w:r>
    </w:p>
    <w:p w14:paraId="1B851227">
      <w:pPr>
        <w:autoSpaceDE w:val="0"/>
        <w:autoSpaceDN w:val="0"/>
        <w:adjustRightInd w:val="0"/>
        <w:spacing w:line="460" w:lineRule="exact"/>
        <w:rPr>
          <w:rFonts w:ascii="宋体" w:hAnsi="宋体"/>
          <w:color w:val="000000"/>
          <w:sz w:val="24"/>
        </w:rPr>
      </w:pPr>
      <w:r>
        <w:rPr>
          <w:rFonts w:hint="eastAsia"/>
          <w:sz w:val="24"/>
        </w:rPr>
        <w:t>二、</w:t>
      </w:r>
      <w:r>
        <w:rPr>
          <w:rFonts w:hint="eastAsia" w:ascii="宋体" w:hAnsi="宋体"/>
          <w:color w:val="000000"/>
          <w:sz w:val="24"/>
        </w:rPr>
        <w:t>投标报价明细；</w:t>
      </w:r>
    </w:p>
    <w:p w14:paraId="03DAC9DD">
      <w:pPr>
        <w:autoSpaceDE w:val="0"/>
        <w:autoSpaceDN w:val="0"/>
        <w:adjustRightInd w:val="0"/>
        <w:spacing w:line="460" w:lineRule="exact"/>
        <w:rPr>
          <w:sz w:val="24"/>
        </w:rPr>
      </w:pPr>
      <w:r>
        <w:rPr>
          <w:rFonts w:hint="eastAsia"/>
          <w:sz w:val="24"/>
        </w:rPr>
        <w:t>三、投标方的资格证明材料；</w:t>
      </w:r>
    </w:p>
    <w:p w14:paraId="4FF7E2B3">
      <w:pPr>
        <w:autoSpaceDE w:val="0"/>
        <w:autoSpaceDN w:val="0"/>
        <w:adjustRightInd w:val="0"/>
        <w:spacing w:line="460" w:lineRule="exact"/>
        <w:ind w:left="1" w:firstLine="424" w:firstLineChars="177"/>
        <w:rPr>
          <w:sz w:val="24"/>
        </w:rPr>
      </w:pPr>
      <w:r>
        <w:rPr>
          <w:rFonts w:hint="eastAsia"/>
          <w:sz w:val="24"/>
        </w:rPr>
        <w:t>①法定代表人身份证明；</w:t>
      </w:r>
    </w:p>
    <w:p w14:paraId="5CC7F99D">
      <w:pPr>
        <w:autoSpaceDE w:val="0"/>
        <w:autoSpaceDN w:val="0"/>
        <w:adjustRightInd w:val="0"/>
        <w:spacing w:line="460" w:lineRule="exact"/>
        <w:ind w:firstLine="424" w:firstLineChars="177"/>
        <w:rPr>
          <w:sz w:val="24"/>
        </w:rPr>
      </w:pPr>
      <w:r>
        <w:rPr>
          <w:rFonts w:hint="eastAsia"/>
          <w:sz w:val="24"/>
        </w:rPr>
        <w:t>②法定代表人授权书；</w:t>
      </w:r>
    </w:p>
    <w:p w14:paraId="6A871E9F">
      <w:pPr>
        <w:autoSpaceDE w:val="0"/>
        <w:autoSpaceDN w:val="0"/>
        <w:adjustRightInd w:val="0"/>
        <w:spacing w:line="460" w:lineRule="exact"/>
        <w:ind w:firstLine="424" w:firstLineChars="177"/>
        <w:rPr>
          <w:sz w:val="24"/>
        </w:rPr>
      </w:pPr>
      <w:r>
        <w:rPr>
          <w:rFonts w:hint="eastAsia"/>
          <w:sz w:val="24"/>
        </w:rPr>
        <w:t>③投标方基本情况表；</w:t>
      </w:r>
    </w:p>
    <w:p w14:paraId="5C4DCCD0">
      <w:pPr>
        <w:autoSpaceDE w:val="0"/>
        <w:autoSpaceDN w:val="0"/>
        <w:adjustRightInd w:val="0"/>
        <w:spacing w:line="460" w:lineRule="exact"/>
        <w:ind w:firstLine="424" w:firstLineChars="177"/>
        <w:rPr>
          <w:sz w:val="24"/>
        </w:rPr>
      </w:pPr>
      <w:r>
        <w:rPr>
          <w:rFonts w:hint="eastAsia"/>
          <w:sz w:val="24"/>
        </w:rPr>
        <w:t>④信用证明材料；</w:t>
      </w:r>
    </w:p>
    <w:p w14:paraId="1FA668D2">
      <w:pPr>
        <w:autoSpaceDE w:val="0"/>
        <w:autoSpaceDN w:val="0"/>
        <w:adjustRightInd w:val="0"/>
        <w:spacing w:line="460" w:lineRule="exact"/>
        <w:ind w:firstLine="424" w:firstLineChars="177"/>
        <w:rPr>
          <w:rFonts w:ascii="宋体" w:hAnsi="宋体"/>
          <w:sz w:val="24"/>
        </w:rPr>
      </w:pPr>
      <w:r>
        <w:rPr>
          <w:rFonts w:hint="eastAsia" w:ascii="宋体" w:hAnsi="宋体"/>
          <w:sz w:val="24"/>
        </w:rPr>
        <w:t>⑤</w:t>
      </w:r>
      <w:r>
        <w:rPr>
          <w:rFonts w:hint="eastAsia" w:ascii="宋体" w:hAnsi="宋体"/>
          <w:color w:val="000000"/>
          <w:sz w:val="24"/>
        </w:rPr>
        <w:t>营业</w:t>
      </w:r>
      <w:r>
        <w:rPr>
          <w:rFonts w:hint="eastAsia" w:ascii="宋体" w:hAnsi="宋体"/>
          <w:sz w:val="24"/>
        </w:rPr>
        <w:t>执照复印件、资信能力证明等；</w:t>
      </w:r>
    </w:p>
    <w:p w14:paraId="7263FA3B">
      <w:pPr>
        <w:autoSpaceDE w:val="0"/>
        <w:autoSpaceDN w:val="0"/>
        <w:adjustRightInd w:val="0"/>
        <w:spacing w:line="460" w:lineRule="exact"/>
        <w:rPr>
          <w:sz w:val="24"/>
        </w:rPr>
      </w:pPr>
      <w:r>
        <w:rPr>
          <w:rFonts w:hint="eastAsia" w:ascii="宋体" w:hAnsi="宋体"/>
          <w:color w:val="000000"/>
          <w:sz w:val="24"/>
        </w:rPr>
        <w:t>复印件均须加盖投标单位公章。</w:t>
      </w:r>
    </w:p>
    <w:p w14:paraId="052B4C42">
      <w:pPr>
        <w:autoSpaceDE w:val="0"/>
        <w:autoSpaceDN w:val="0"/>
        <w:adjustRightInd w:val="0"/>
        <w:spacing w:line="460" w:lineRule="exact"/>
        <w:rPr>
          <w:sz w:val="24"/>
        </w:rPr>
      </w:pPr>
      <w:r>
        <w:rPr>
          <w:rFonts w:hint="eastAsia"/>
          <w:sz w:val="24"/>
        </w:rPr>
        <w:t>四、相关业绩</w:t>
      </w:r>
    </w:p>
    <w:p w14:paraId="7800AAC4">
      <w:pPr>
        <w:autoSpaceDE w:val="0"/>
        <w:autoSpaceDN w:val="0"/>
        <w:adjustRightInd w:val="0"/>
        <w:spacing w:line="460" w:lineRule="exact"/>
        <w:rPr>
          <w:rFonts w:ascii="宋体" w:hAnsi="宋体"/>
          <w:color w:val="000000"/>
          <w:sz w:val="24"/>
        </w:rPr>
      </w:pPr>
      <w:r>
        <w:rPr>
          <w:rFonts w:hint="eastAsia" w:ascii="宋体" w:hAnsi="宋体"/>
          <w:color w:val="000000"/>
          <w:sz w:val="24"/>
        </w:rPr>
        <w:t>五、服务承诺书</w:t>
      </w:r>
    </w:p>
    <w:p w14:paraId="79213B43">
      <w:pPr>
        <w:adjustRightInd w:val="0"/>
        <w:snapToGrid w:val="0"/>
        <w:spacing w:line="360" w:lineRule="auto"/>
        <w:rPr>
          <w:sz w:val="24"/>
        </w:rPr>
      </w:pPr>
    </w:p>
    <w:p w14:paraId="1FD50389">
      <w:pPr>
        <w:adjustRightInd w:val="0"/>
        <w:snapToGrid w:val="0"/>
        <w:spacing w:line="360" w:lineRule="auto"/>
        <w:rPr>
          <w:sz w:val="24"/>
        </w:rPr>
      </w:pPr>
      <w:r>
        <w:rPr>
          <w:rFonts w:hint="eastAsia"/>
          <w:sz w:val="24"/>
        </w:rPr>
        <w:t xml:space="preserve">                                                                                                                                                                            </w:t>
      </w:r>
    </w:p>
    <w:p w14:paraId="44D15FA3">
      <w:pPr>
        <w:adjustRightInd w:val="0"/>
        <w:snapToGrid w:val="0"/>
        <w:rPr>
          <w:sz w:val="24"/>
        </w:rPr>
      </w:pPr>
    </w:p>
    <w:p w14:paraId="744A1E99">
      <w:pPr>
        <w:adjustRightInd w:val="0"/>
        <w:snapToGrid w:val="0"/>
        <w:rPr>
          <w:sz w:val="24"/>
        </w:rPr>
      </w:pPr>
    </w:p>
    <w:p w14:paraId="0F8BA53F">
      <w:pPr>
        <w:adjustRightInd w:val="0"/>
        <w:snapToGrid w:val="0"/>
        <w:rPr>
          <w:sz w:val="24"/>
        </w:rPr>
      </w:pPr>
    </w:p>
    <w:p w14:paraId="0ED03B60">
      <w:pPr>
        <w:adjustRightInd w:val="0"/>
        <w:snapToGrid w:val="0"/>
        <w:rPr>
          <w:sz w:val="24"/>
        </w:rPr>
      </w:pPr>
    </w:p>
    <w:p w14:paraId="286771C4">
      <w:pPr>
        <w:adjustRightInd w:val="0"/>
        <w:snapToGrid w:val="0"/>
        <w:rPr>
          <w:sz w:val="24"/>
        </w:rPr>
      </w:pPr>
    </w:p>
    <w:p w14:paraId="456F4C64">
      <w:pPr>
        <w:adjustRightInd w:val="0"/>
        <w:snapToGrid w:val="0"/>
        <w:rPr>
          <w:sz w:val="24"/>
        </w:rPr>
      </w:pPr>
    </w:p>
    <w:p w14:paraId="3AC61C1E">
      <w:pPr>
        <w:adjustRightInd w:val="0"/>
        <w:snapToGrid w:val="0"/>
        <w:rPr>
          <w:sz w:val="24"/>
        </w:rPr>
      </w:pPr>
    </w:p>
    <w:p w14:paraId="0D91870E">
      <w:pPr>
        <w:adjustRightInd w:val="0"/>
        <w:snapToGrid w:val="0"/>
        <w:rPr>
          <w:sz w:val="24"/>
        </w:rPr>
      </w:pPr>
    </w:p>
    <w:p w14:paraId="5CE3C5E3">
      <w:pPr>
        <w:adjustRightInd w:val="0"/>
        <w:snapToGrid w:val="0"/>
        <w:rPr>
          <w:sz w:val="24"/>
        </w:rPr>
      </w:pPr>
    </w:p>
    <w:p w14:paraId="089FD8DC">
      <w:pPr>
        <w:adjustRightInd w:val="0"/>
        <w:snapToGrid w:val="0"/>
        <w:rPr>
          <w:sz w:val="24"/>
        </w:rPr>
      </w:pPr>
    </w:p>
    <w:p w14:paraId="35C1B830">
      <w:pPr>
        <w:adjustRightInd w:val="0"/>
        <w:snapToGrid w:val="0"/>
        <w:rPr>
          <w:sz w:val="24"/>
        </w:rPr>
      </w:pPr>
    </w:p>
    <w:p w14:paraId="679B5050">
      <w:pPr>
        <w:adjustRightInd w:val="0"/>
        <w:snapToGrid w:val="0"/>
        <w:rPr>
          <w:sz w:val="24"/>
        </w:rPr>
      </w:pPr>
    </w:p>
    <w:p w14:paraId="6E0409AE">
      <w:pPr>
        <w:adjustRightInd w:val="0"/>
        <w:snapToGrid w:val="0"/>
        <w:rPr>
          <w:sz w:val="24"/>
        </w:rPr>
      </w:pPr>
    </w:p>
    <w:p w14:paraId="1D0DEB56">
      <w:pPr>
        <w:adjustRightInd w:val="0"/>
        <w:snapToGrid w:val="0"/>
        <w:rPr>
          <w:sz w:val="24"/>
        </w:rPr>
      </w:pPr>
    </w:p>
    <w:p w14:paraId="2F5F459B">
      <w:pPr>
        <w:adjustRightInd w:val="0"/>
        <w:snapToGrid w:val="0"/>
        <w:rPr>
          <w:sz w:val="24"/>
        </w:rPr>
      </w:pPr>
    </w:p>
    <w:p w14:paraId="29264468">
      <w:pPr>
        <w:adjustRightInd w:val="0"/>
        <w:snapToGrid w:val="0"/>
        <w:rPr>
          <w:sz w:val="24"/>
        </w:rPr>
      </w:pPr>
    </w:p>
    <w:p w14:paraId="7A74005C">
      <w:pPr>
        <w:adjustRightInd w:val="0"/>
        <w:snapToGrid w:val="0"/>
        <w:rPr>
          <w:sz w:val="24"/>
        </w:rPr>
      </w:pPr>
    </w:p>
    <w:p w14:paraId="059BB6C6">
      <w:pPr>
        <w:adjustRightInd w:val="0"/>
        <w:snapToGrid w:val="0"/>
        <w:rPr>
          <w:sz w:val="24"/>
        </w:rPr>
      </w:pPr>
    </w:p>
    <w:p w14:paraId="3EFE4DEE">
      <w:pPr>
        <w:adjustRightInd w:val="0"/>
        <w:snapToGrid w:val="0"/>
        <w:rPr>
          <w:sz w:val="24"/>
        </w:rPr>
      </w:pPr>
    </w:p>
    <w:p w14:paraId="3B278228">
      <w:pPr>
        <w:adjustRightInd w:val="0"/>
        <w:snapToGrid w:val="0"/>
        <w:rPr>
          <w:sz w:val="24"/>
        </w:rPr>
      </w:pPr>
    </w:p>
    <w:p w14:paraId="2B8FC3E9">
      <w:pPr>
        <w:spacing w:before="28"/>
        <w:ind w:right="99"/>
        <w:rPr>
          <w:rFonts w:cs="Microsoft JhengHei" w:asciiTheme="majorEastAsia" w:hAnsiTheme="majorEastAsia" w:eastAsiaTheme="majorEastAsia"/>
          <w:b/>
          <w:bCs/>
          <w:kern w:val="0"/>
          <w:sz w:val="44"/>
          <w:szCs w:val="44"/>
          <w:lang w:val="zh-CN" w:bidi="zh-CN"/>
        </w:rPr>
      </w:pPr>
    </w:p>
    <w:p w14:paraId="26E6BFD9">
      <w:pPr>
        <w:spacing w:line="732" w:lineRule="exact"/>
        <w:ind w:left="2" w:right="-31"/>
        <w:jc w:val="center"/>
        <w:rPr>
          <w:rFonts w:ascii="Microsoft JhengHei" w:eastAsia="Microsoft JhengHei"/>
          <w:b/>
          <w:sz w:val="44"/>
          <w:szCs w:val="44"/>
        </w:rPr>
      </w:pPr>
      <w:r>
        <w:rPr>
          <w:rFonts w:hint="eastAsia" w:ascii="Microsoft JhengHei" w:eastAsiaTheme="minorEastAsia"/>
          <w:b/>
          <w:sz w:val="44"/>
          <w:szCs w:val="44"/>
        </w:rPr>
        <w:t>一、</w:t>
      </w:r>
      <w:r>
        <w:rPr>
          <w:rFonts w:hint="eastAsia" w:ascii="Microsoft JhengHei" w:eastAsia="Microsoft JhengHei"/>
          <w:b/>
          <w:sz w:val="44"/>
          <w:szCs w:val="44"/>
        </w:rPr>
        <w:t>投标函</w:t>
      </w:r>
    </w:p>
    <w:p w14:paraId="2ED9741F">
      <w:pPr>
        <w:pStyle w:val="7"/>
        <w:spacing w:before="3" w:line="440" w:lineRule="exact"/>
        <w:ind w:left="5250"/>
        <w:rPr>
          <w:rFonts w:ascii="Microsoft JhengHei"/>
          <w:b/>
          <w:sz w:val="8"/>
        </w:rPr>
      </w:pPr>
    </w:p>
    <w:p w14:paraId="584AB2C2">
      <w:pPr>
        <w:autoSpaceDE w:val="0"/>
        <w:autoSpaceDN w:val="0"/>
        <w:adjustRightInd w:val="0"/>
        <w:spacing w:line="440" w:lineRule="exact"/>
        <w:rPr>
          <w:rFonts w:ascii="宋体" w:hAnsi="宋体"/>
          <w:color w:val="000000"/>
          <w:sz w:val="24"/>
        </w:rPr>
      </w:pPr>
      <w:r>
        <w:rPr>
          <w:rFonts w:ascii="宋体" w:hAnsi="宋体"/>
          <w:color w:val="000000"/>
          <w:sz w:val="24"/>
        </w:rPr>
        <w:t>致</w:t>
      </w:r>
      <w:r>
        <w:rPr>
          <w:rFonts w:ascii="宋体" w:hAnsi="宋体"/>
          <w:color w:val="000000"/>
          <w:sz w:val="24"/>
        </w:rPr>
        <w:tab/>
      </w:r>
      <w:r>
        <w:rPr>
          <w:rFonts w:ascii="宋体" w:hAnsi="宋体"/>
          <w:color w:val="000000"/>
          <w:sz w:val="24"/>
        </w:rPr>
        <w:t>（招标人名称）：</w:t>
      </w:r>
      <w:r>
        <w:rPr>
          <w:rFonts w:hint="eastAsia" w:ascii="宋体" w:hAnsi="宋体"/>
          <w:color w:val="000000"/>
          <w:sz w:val="24"/>
        </w:rPr>
        <w:t>湖南省湘澧盐化有限责任公司</w:t>
      </w:r>
    </w:p>
    <w:p w14:paraId="761CD871">
      <w:pPr>
        <w:autoSpaceDE w:val="0"/>
        <w:autoSpaceDN w:val="0"/>
        <w:adjustRightInd w:val="0"/>
        <w:spacing w:line="440" w:lineRule="exact"/>
        <w:ind w:firstLine="240" w:firstLineChars="100"/>
        <w:rPr>
          <w:rFonts w:ascii="宋体" w:hAnsi="宋体"/>
          <w:color w:val="000000"/>
          <w:sz w:val="24"/>
        </w:rPr>
      </w:pPr>
      <w:r>
        <w:rPr>
          <w:rFonts w:ascii="宋体" w:hAnsi="宋体"/>
          <w:color w:val="000000"/>
          <w:sz w:val="24"/>
        </w:rPr>
        <w:t>1、我方已仔细研究了</w:t>
      </w:r>
      <w:r>
        <w:rPr>
          <w:rFonts w:hint="eastAsia" w:ascii="宋体" w:hAnsi="宋体"/>
          <w:color w:val="000000"/>
          <w:sz w:val="24"/>
          <w:u w:val="single"/>
        </w:rPr>
        <w:t xml:space="preserve">              </w:t>
      </w:r>
      <w:r>
        <w:rPr>
          <w:rFonts w:ascii="宋体" w:hAnsi="宋体"/>
          <w:color w:val="000000"/>
          <w:sz w:val="24"/>
        </w:rPr>
        <w:t>（项目名称）项目招标文件的全部内容，</w:t>
      </w:r>
    </w:p>
    <w:p w14:paraId="03653245">
      <w:pPr>
        <w:autoSpaceDE w:val="0"/>
        <w:autoSpaceDN w:val="0"/>
        <w:adjustRightInd w:val="0"/>
        <w:spacing w:line="440" w:lineRule="exact"/>
        <w:rPr>
          <w:rFonts w:ascii="宋体" w:hAnsi="宋体"/>
          <w:color w:val="000000"/>
          <w:sz w:val="24"/>
        </w:rPr>
      </w:pPr>
      <w:r>
        <w:rPr>
          <w:rFonts w:ascii="宋体" w:hAnsi="宋体"/>
          <w:color w:val="000000"/>
          <w:sz w:val="24"/>
        </w:rPr>
        <w:t>愿意以人民币（大写）</w:t>
      </w:r>
      <w:r>
        <w:rPr>
          <w:rFonts w:hint="eastAsia" w:ascii="宋体" w:hAnsi="宋体"/>
          <w:color w:val="000000"/>
          <w:sz w:val="24"/>
          <w:u w:val="single"/>
        </w:rPr>
        <w:t xml:space="preserve">                       </w:t>
      </w:r>
      <w:r>
        <w:rPr>
          <w:rFonts w:ascii="宋体" w:hAnsi="宋体"/>
          <w:color w:val="000000"/>
          <w:sz w:val="24"/>
        </w:rPr>
        <w:t>（￥）的投标报价，按合同约定履行义务。</w:t>
      </w:r>
    </w:p>
    <w:p w14:paraId="6B83C51E">
      <w:pPr>
        <w:autoSpaceDE w:val="0"/>
        <w:autoSpaceDN w:val="0"/>
        <w:adjustRightInd w:val="0"/>
        <w:spacing w:line="440" w:lineRule="exact"/>
        <w:ind w:firstLine="240" w:firstLineChars="100"/>
        <w:rPr>
          <w:rFonts w:ascii="宋体" w:hAnsi="宋体"/>
          <w:color w:val="000000"/>
          <w:sz w:val="24"/>
        </w:rPr>
      </w:pPr>
      <w:r>
        <w:rPr>
          <w:rFonts w:ascii="宋体" w:hAnsi="宋体"/>
          <w:color w:val="000000"/>
          <w:sz w:val="24"/>
        </w:rPr>
        <w:t>2、我方的投标文件</w:t>
      </w:r>
      <w:r>
        <w:rPr>
          <w:rFonts w:hint="eastAsia" w:ascii="宋体" w:hAnsi="宋体"/>
          <w:color w:val="000000"/>
          <w:sz w:val="24"/>
        </w:rPr>
        <w:t>满足招标规定的全部投标文件</w:t>
      </w:r>
      <w:r>
        <w:rPr>
          <w:rFonts w:ascii="宋体" w:hAnsi="宋体"/>
          <w:color w:val="000000"/>
          <w:sz w:val="24"/>
        </w:rPr>
        <w:t>：</w:t>
      </w:r>
      <w:r>
        <w:rPr>
          <w:rFonts w:hint="eastAsia"/>
          <w:sz w:val="24"/>
        </w:rPr>
        <w:t>投标文件正本1份，副本2份。</w:t>
      </w:r>
    </w:p>
    <w:p w14:paraId="35EAE9AD">
      <w:pPr>
        <w:autoSpaceDE w:val="0"/>
        <w:autoSpaceDN w:val="0"/>
        <w:adjustRightInd w:val="0"/>
        <w:spacing w:line="440" w:lineRule="exact"/>
        <w:rPr>
          <w:rFonts w:ascii="宋体" w:hAnsi="宋体"/>
          <w:color w:val="000000"/>
          <w:sz w:val="24"/>
        </w:rPr>
      </w:pPr>
      <w:r>
        <w:rPr>
          <w:rFonts w:ascii="宋体" w:hAnsi="宋体"/>
          <w:color w:val="000000"/>
          <w:sz w:val="24"/>
        </w:rPr>
        <w:t>据此函，投标人同意如下内容：</w:t>
      </w:r>
    </w:p>
    <w:p w14:paraId="3391369B">
      <w:pPr>
        <w:autoSpaceDE w:val="0"/>
        <w:autoSpaceDN w:val="0"/>
        <w:adjustRightInd w:val="0"/>
        <w:spacing w:line="440" w:lineRule="exact"/>
        <w:ind w:firstLine="240" w:firstLineChars="100"/>
        <w:rPr>
          <w:rFonts w:ascii="宋体" w:hAnsi="宋体"/>
          <w:color w:val="000000"/>
          <w:sz w:val="24"/>
        </w:rPr>
      </w:pPr>
      <w:r>
        <w:rPr>
          <w:rFonts w:hint="eastAsia"/>
          <w:sz w:val="24"/>
        </w:rPr>
        <w:t>（1）</w:t>
      </w:r>
      <w:r>
        <w:rPr>
          <w:rFonts w:ascii="宋体" w:hAnsi="宋体"/>
          <w:color w:val="000000"/>
          <w:sz w:val="24"/>
        </w:rPr>
        <w:t>投标人将按招标文件的规定履行合同责任和义务。</w:t>
      </w:r>
    </w:p>
    <w:p w14:paraId="2582B3A6">
      <w:pPr>
        <w:autoSpaceDE w:val="0"/>
        <w:autoSpaceDN w:val="0"/>
        <w:adjustRightInd w:val="0"/>
        <w:spacing w:line="440" w:lineRule="exact"/>
        <w:ind w:firstLine="240" w:firstLineChars="100"/>
        <w:rPr>
          <w:rFonts w:ascii="宋体" w:hAnsi="宋体"/>
          <w:color w:val="000000"/>
          <w:sz w:val="24"/>
        </w:rPr>
      </w:pPr>
      <w:r>
        <w:rPr>
          <w:rFonts w:hint="eastAsia"/>
          <w:sz w:val="24"/>
        </w:rPr>
        <w:t>（2）</w:t>
      </w:r>
      <w:r>
        <w:rPr>
          <w:rFonts w:ascii="宋体" w:hAnsi="宋体"/>
          <w:color w:val="000000"/>
          <w:sz w:val="24"/>
        </w:rPr>
        <w:t>我方承诺：我方不得将本次招标或合同的有关资料向第三方透露。</w:t>
      </w:r>
    </w:p>
    <w:p w14:paraId="47E0ECB2">
      <w:pPr>
        <w:autoSpaceDE w:val="0"/>
        <w:autoSpaceDN w:val="0"/>
        <w:adjustRightInd w:val="0"/>
        <w:spacing w:line="440" w:lineRule="exact"/>
        <w:rPr>
          <w:rFonts w:ascii="宋体" w:hAnsi="宋体"/>
          <w:color w:val="000000"/>
          <w:sz w:val="24"/>
        </w:rPr>
      </w:pPr>
    </w:p>
    <w:p w14:paraId="38FC28DB">
      <w:pPr>
        <w:autoSpaceDE w:val="0"/>
        <w:autoSpaceDN w:val="0"/>
        <w:adjustRightInd w:val="0"/>
        <w:spacing w:line="440" w:lineRule="exact"/>
        <w:rPr>
          <w:rFonts w:ascii="宋体" w:hAnsi="宋体"/>
          <w:color w:val="000000"/>
          <w:sz w:val="24"/>
        </w:rPr>
      </w:pPr>
    </w:p>
    <w:p w14:paraId="48D0B9DF">
      <w:pPr>
        <w:autoSpaceDE w:val="0"/>
        <w:autoSpaceDN w:val="0"/>
        <w:adjustRightInd w:val="0"/>
        <w:spacing w:line="440" w:lineRule="exact"/>
        <w:rPr>
          <w:rFonts w:ascii="宋体" w:hAnsi="宋体"/>
          <w:color w:val="000000"/>
          <w:sz w:val="24"/>
        </w:rPr>
      </w:pPr>
    </w:p>
    <w:p w14:paraId="45B412BF">
      <w:pPr>
        <w:autoSpaceDE w:val="0"/>
        <w:autoSpaceDN w:val="0"/>
        <w:adjustRightInd w:val="0"/>
        <w:spacing w:line="440" w:lineRule="exact"/>
        <w:rPr>
          <w:rFonts w:ascii="宋体" w:hAnsi="宋体"/>
          <w:color w:val="000000"/>
          <w:sz w:val="24"/>
        </w:rPr>
      </w:pPr>
    </w:p>
    <w:p w14:paraId="0D86C3FB">
      <w:pPr>
        <w:autoSpaceDE w:val="0"/>
        <w:autoSpaceDN w:val="0"/>
        <w:adjustRightInd w:val="0"/>
        <w:spacing w:line="440" w:lineRule="exact"/>
        <w:jc w:val="left"/>
        <w:rPr>
          <w:rFonts w:ascii="宋体" w:hAnsi="宋体"/>
          <w:color w:val="000000"/>
          <w:sz w:val="24"/>
        </w:rPr>
      </w:pPr>
      <w:r>
        <w:rPr>
          <w:rFonts w:ascii="宋体" w:hAnsi="宋体"/>
          <w:color w:val="000000"/>
          <w:sz w:val="24"/>
        </w:rPr>
        <w:t>投标人：</w:t>
      </w:r>
      <w:r>
        <w:rPr>
          <w:rFonts w:ascii="宋体" w:hAnsi="宋体"/>
          <w:color w:val="000000"/>
          <w:sz w:val="24"/>
        </w:rPr>
        <w:tab/>
      </w:r>
      <w:r>
        <w:rPr>
          <w:rFonts w:ascii="宋体" w:hAnsi="宋体"/>
          <w:color w:val="000000"/>
          <w:sz w:val="24"/>
        </w:rPr>
        <w:tab/>
      </w:r>
      <w:r>
        <w:rPr>
          <w:rFonts w:ascii="宋体" w:hAnsi="宋体"/>
          <w:color w:val="000000"/>
          <w:sz w:val="24"/>
        </w:rPr>
        <w:t>（</w:t>
      </w:r>
      <w:r>
        <w:rPr>
          <w:rFonts w:hint="eastAsia" w:ascii="宋体" w:hAnsi="宋体"/>
          <w:color w:val="000000"/>
          <w:sz w:val="24"/>
        </w:rPr>
        <w:t>签</w:t>
      </w:r>
      <w:r>
        <w:rPr>
          <w:rFonts w:ascii="宋体" w:hAnsi="宋体"/>
          <w:color w:val="000000"/>
          <w:sz w:val="24"/>
        </w:rPr>
        <w:t>章）</w:t>
      </w:r>
    </w:p>
    <w:p w14:paraId="503F8D68">
      <w:pPr>
        <w:autoSpaceDE w:val="0"/>
        <w:autoSpaceDN w:val="0"/>
        <w:adjustRightInd w:val="0"/>
        <w:spacing w:line="440" w:lineRule="exact"/>
        <w:jc w:val="left"/>
        <w:rPr>
          <w:rFonts w:ascii="宋体" w:hAnsi="宋体"/>
          <w:color w:val="000000"/>
          <w:sz w:val="24"/>
        </w:rPr>
      </w:pPr>
      <w:r>
        <w:rPr>
          <w:rFonts w:ascii="宋体" w:hAnsi="宋体"/>
          <w:color w:val="000000"/>
          <w:sz w:val="24"/>
        </w:rPr>
        <w:t>地 址 ：</w:t>
      </w:r>
    </w:p>
    <w:p w14:paraId="5D38C381">
      <w:pPr>
        <w:autoSpaceDE w:val="0"/>
        <w:autoSpaceDN w:val="0"/>
        <w:adjustRightInd w:val="0"/>
        <w:spacing w:line="440" w:lineRule="exact"/>
        <w:jc w:val="left"/>
        <w:rPr>
          <w:rFonts w:ascii="宋体" w:hAnsi="宋体"/>
          <w:color w:val="000000"/>
          <w:sz w:val="24"/>
        </w:rPr>
      </w:pPr>
      <w:r>
        <w:rPr>
          <w:rFonts w:ascii="宋体" w:hAnsi="宋体"/>
          <w:color w:val="000000"/>
          <w:sz w:val="24"/>
        </w:rPr>
        <w:t>邮 箱：</w:t>
      </w:r>
    </w:p>
    <w:p w14:paraId="483140BD">
      <w:pPr>
        <w:autoSpaceDE w:val="0"/>
        <w:autoSpaceDN w:val="0"/>
        <w:adjustRightInd w:val="0"/>
        <w:spacing w:line="440" w:lineRule="exact"/>
        <w:jc w:val="left"/>
        <w:rPr>
          <w:rFonts w:ascii="宋体" w:hAnsi="宋体"/>
          <w:color w:val="000000"/>
          <w:sz w:val="24"/>
        </w:rPr>
      </w:pPr>
      <w:r>
        <w:rPr>
          <w:rFonts w:ascii="宋体" w:hAnsi="宋体"/>
          <w:color w:val="000000"/>
          <w:sz w:val="24"/>
        </w:rPr>
        <w:t>电 话：</w:t>
      </w:r>
    </w:p>
    <w:p w14:paraId="320E7AC3">
      <w:pPr>
        <w:autoSpaceDE w:val="0"/>
        <w:autoSpaceDN w:val="0"/>
        <w:adjustRightInd w:val="0"/>
        <w:spacing w:line="440" w:lineRule="exact"/>
        <w:jc w:val="left"/>
        <w:rPr>
          <w:rFonts w:ascii="宋体" w:hAnsi="宋体"/>
          <w:color w:val="000000"/>
          <w:sz w:val="24"/>
        </w:rPr>
      </w:pPr>
      <w:r>
        <w:rPr>
          <w:rFonts w:ascii="宋体" w:hAnsi="宋体"/>
          <w:color w:val="000000"/>
          <w:sz w:val="24"/>
        </w:rPr>
        <w:t>邮政编码：</w:t>
      </w:r>
    </w:p>
    <w:p w14:paraId="2ECBAB5F">
      <w:pPr>
        <w:autoSpaceDE w:val="0"/>
        <w:autoSpaceDN w:val="0"/>
        <w:adjustRightInd w:val="0"/>
        <w:spacing w:line="440" w:lineRule="exact"/>
        <w:jc w:val="left"/>
        <w:rPr>
          <w:rFonts w:ascii="宋体" w:hAnsi="宋体"/>
          <w:color w:val="000000"/>
          <w:sz w:val="24"/>
        </w:rPr>
      </w:pPr>
      <w:r>
        <w:rPr>
          <w:rFonts w:ascii="宋体" w:hAnsi="宋体"/>
          <w:color w:val="000000"/>
          <w:sz w:val="24"/>
        </w:rPr>
        <w:t>年</w:t>
      </w:r>
      <w:r>
        <w:rPr>
          <w:rFonts w:ascii="宋体" w:hAnsi="宋体"/>
          <w:color w:val="000000"/>
          <w:sz w:val="24"/>
        </w:rPr>
        <w:tab/>
      </w:r>
      <w:r>
        <w:rPr>
          <w:rFonts w:ascii="宋体" w:hAnsi="宋体"/>
          <w:color w:val="000000"/>
          <w:sz w:val="24"/>
        </w:rPr>
        <w:t>月</w:t>
      </w:r>
      <w:r>
        <w:rPr>
          <w:rFonts w:ascii="宋体" w:hAnsi="宋体"/>
          <w:color w:val="000000"/>
          <w:sz w:val="24"/>
        </w:rPr>
        <w:tab/>
      </w:r>
      <w:r>
        <w:rPr>
          <w:rFonts w:ascii="宋体" w:hAnsi="宋体"/>
          <w:color w:val="000000"/>
          <w:sz w:val="24"/>
        </w:rPr>
        <w:t>日</w:t>
      </w:r>
      <w:r>
        <w:rPr>
          <w:rFonts w:hint="eastAsia" w:ascii="宋体" w:hAnsi="宋体"/>
          <w:color w:val="000000"/>
          <w:sz w:val="24"/>
        </w:rPr>
        <w:t>：</w:t>
      </w:r>
    </w:p>
    <w:p w14:paraId="226BB6D9">
      <w:pPr>
        <w:autoSpaceDE w:val="0"/>
        <w:autoSpaceDN w:val="0"/>
        <w:adjustRightInd w:val="0"/>
        <w:spacing w:line="480" w:lineRule="exact"/>
        <w:jc w:val="left"/>
        <w:rPr>
          <w:rFonts w:ascii="宋体" w:hAnsi="宋体"/>
          <w:color w:val="000000"/>
          <w:sz w:val="24"/>
        </w:rPr>
        <w:sectPr>
          <w:footerReference r:id="rId4" w:type="default"/>
          <w:pgSz w:w="11905" w:h="16838"/>
          <w:pgMar w:top="1440" w:right="1640" w:bottom="782" w:left="1700" w:header="0" w:footer="499" w:gutter="0"/>
          <w:cols w:space="0" w:num="1"/>
        </w:sectPr>
      </w:pPr>
    </w:p>
    <w:p w14:paraId="7B7B030E">
      <w:pPr>
        <w:spacing w:line="732" w:lineRule="exact"/>
        <w:ind w:right="-31"/>
        <w:jc w:val="center"/>
        <w:rPr>
          <w:rFonts w:ascii="Microsoft JhengHei" w:eastAsiaTheme="minorEastAsia"/>
          <w:b/>
          <w:sz w:val="44"/>
          <w:szCs w:val="44"/>
        </w:rPr>
      </w:pPr>
      <w:r>
        <w:rPr>
          <w:rFonts w:hint="eastAsia" w:ascii="Microsoft JhengHei" w:eastAsiaTheme="minorEastAsia"/>
          <w:b/>
          <w:sz w:val="44"/>
          <w:szCs w:val="44"/>
        </w:rPr>
        <w:t>二、投标报价明细</w:t>
      </w:r>
    </w:p>
    <w:p w14:paraId="4189BA02">
      <w:pPr>
        <w:rPr>
          <w:rFonts w:ascii="仿宋_GB2312" w:eastAsia="仿宋_GB2312"/>
          <w:sz w:val="32"/>
          <w:szCs w:val="32"/>
        </w:rPr>
      </w:pPr>
    </w:p>
    <w:p w14:paraId="5658111D">
      <w:pPr>
        <w:rPr>
          <w:rFonts w:asciiTheme="minorEastAsia" w:hAnsiTheme="minorEastAsia" w:eastAsiaTheme="minorEastAsia"/>
          <w:sz w:val="30"/>
          <w:szCs w:val="30"/>
        </w:rPr>
      </w:pPr>
      <w:r>
        <w:rPr>
          <w:rFonts w:hint="eastAsia" w:asciiTheme="minorEastAsia" w:hAnsiTheme="minorEastAsia" w:eastAsiaTheme="minorEastAsia"/>
          <w:sz w:val="30"/>
          <w:szCs w:val="30"/>
        </w:rPr>
        <w:t>工 程 名 称：</w:t>
      </w:r>
      <w:r>
        <w:rPr>
          <w:rFonts w:hint="eastAsia" w:ascii="宋体" w:cs="宋体"/>
          <w:bCs/>
          <w:color w:val="000000"/>
          <w:sz w:val="28"/>
          <w:szCs w:val="28"/>
        </w:rPr>
        <w:t>生态盐气力输送仓顶布袋除尘器改造</w:t>
      </w:r>
    </w:p>
    <w:p w14:paraId="2417FAF3">
      <w:pPr>
        <w:rPr>
          <w:rFonts w:asciiTheme="minorEastAsia" w:hAnsiTheme="minorEastAsia" w:eastAsiaTheme="minorEastAsia"/>
          <w:sz w:val="30"/>
          <w:szCs w:val="30"/>
        </w:rPr>
      </w:pPr>
    </w:p>
    <w:p w14:paraId="6DEB6F58">
      <w:pPr>
        <w:rPr>
          <w:rFonts w:asciiTheme="minorEastAsia" w:hAnsiTheme="minorEastAsia" w:eastAsiaTheme="minorEastAsia"/>
          <w:sz w:val="30"/>
          <w:szCs w:val="30"/>
        </w:rPr>
      </w:pPr>
      <w:r>
        <w:rPr>
          <w:rFonts w:hint="eastAsia" w:asciiTheme="minorEastAsia" w:hAnsiTheme="minorEastAsia" w:eastAsiaTheme="minorEastAsia"/>
          <w:sz w:val="30"/>
          <w:szCs w:val="30"/>
        </w:rPr>
        <w:t>建设单位名称：湖南省湘澧盐化有限责任公司包装厂</w:t>
      </w:r>
    </w:p>
    <w:p w14:paraId="765A5D50">
      <w:pPr>
        <w:rPr>
          <w:rFonts w:asciiTheme="minorEastAsia" w:hAnsiTheme="minorEastAsia" w:eastAsiaTheme="minorEastAsia"/>
          <w:sz w:val="30"/>
          <w:szCs w:val="30"/>
        </w:rPr>
      </w:pPr>
    </w:p>
    <w:p w14:paraId="11813603">
      <w:pPr>
        <w:rPr>
          <w:rFonts w:asciiTheme="minorEastAsia" w:hAnsiTheme="minorEastAsia" w:eastAsiaTheme="minorEastAsia"/>
          <w:sz w:val="30"/>
          <w:szCs w:val="30"/>
        </w:rPr>
      </w:pPr>
      <w:r>
        <w:rPr>
          <w:rFonts w:hint="eastAsia" w:asciiTheme="minorEastAsia" w:hAnsiTheme="minorEastAsia" w:eastAsiaTheme="minorEastAsia"/>
          <w:sz w:val="30"/>
          <w:szCs w:val="30"/>
        </w:rPr>
        <w:t>报价单位名称：</w:t>
      </w:r>
      <w:r>
        <w:rPr>
          <w:rFonts w:hint="eastAsia" w:asciiTheme="minorEastAsia" w:hAnsiTheme="minorEastAsia" w:eastAsiaTheme="minorEastAsia"/>
          <w:sz w:val="30"/>
          <w:szCs w:val="30"/>
          <w:u w:val="single"/>
        </w:rPr>
        <w:t xml:space="preserve">                                      </w:t>
      </w:r>
    </w:p>
    <w:p w14:paraId="5489AFA0">
      <w:pPr>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p>
    <w:p w14:paraId="235EB8AF">
      <w:pPr>
        <w:rPr>
          <w:rFonts w:asciiTheme="minorEastAsia" w:hAnsiTheme="minorEastAsia" w:eastAsiaTheme="minorEastAsia"/>
          <w:sz w:val="30"/>
          <w:szCs w:val="30"/>
        </w:rPr>
      </w:pPr>
      <w:r>
        <w:rPr>
          <w:rFonts w:hint="eastAsia" w:asciiTheme="minorEastAsia" w:hAnsiTheme="minorEastAsia" w:eastAsiaTheme="minorEastAsia"/>
          <w:sz w:val="30"/>
          <w:szCs w:val="30"/>
        </w:rPr>
        <w:t>报价明细：</w:t>
      </w:r>
    </w:p>
    <w:p w14:paraId="484849B7">
      <w:pPr>
        <w:rPr>
          <w:rFonts w:ascii="仿宋_GB2312" w:eastAsia="仿宋_GB2312"/>
          <w:sz w:val="32"/>
          <w:szCs w:val="32"/>
        </w:rPr>
      </w:pPr>
    </w:p>
    <w:tbl>
      <w:tblPr>
        <w:tblStyle w:val="14"/>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572"/>
        <w:gridCol w:w="1806"/>
        <w:gridCol w:w="1314"/>
        <w:gridCol w:w="1830"/>
      </w:tblGrid>
      <w:tr w14:paraId="1C00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11" w:type="dxa"/>
            <w:vAlign w:val="center"/>
          </w:tcPr>
          <w:p w14:paraId="7D480C9B">
            <w:pPr>
              <w:spacing w:before="120" w:beforeLines="50"/>
              <w:jc w:val="center"/>
              <w:rPr>
                <w:rFonts w:ascii="宋体" w:hAnsi="宋体" w:cs="Arial"/>
                <w:color w:val="000000"/>
                <w:sz w:val="24"/>
              </w:rPr>
            </w:pPr>
            <w:r>
              <w:rPr>
                <w:rFonts w:hint="eastAsia" w:ascii="宋体" w:hAnsi="宋体" w:cs="Arial"/>
                <w:color w:val="000000"/>
                <w:sz w:val="24"/>
              </w:rPr>
              <w:t>序号</w:t>
            </w:r>
          </w:p>
        </w:tc>
        <w:tc>
          <w:tcPr>
            <w:tcW w:w="2572" w:type="dxa"/>
            <w:vAlign w:val="center"/>
          </w:tcPr>
          <w:p w14:paraId="160E8572">
            <w:pPr>
              <w:spacing w:before="120" w:beforeLines="50"/>
              <w:jc w:val="center"/>
              <w:rPr>
                <w:rFonts w:ascii="宋体" w:hAnsi="宋体" w:cs="Arial"/>
                <w:color w:val="000000"/>
                <w:sz w:val="24"/>
              </w:rPr>
            </w:pPr>
            <w:r>
              <w:rPr>
                <w:rFonts w:hint="eastAsia" w:ascii="宋体" w:hAnsi="宋体" w:cs="Arial"/>
                <w:color w:val="000000"/>
                <w:sz w:val="24"/>
              </w:rPr>
              <w:t>名   称</w:t>
            </w:r>
          </w:p>
        </w:tc>
        <w:tc>
          <w:tcPr>
            <w:tcW w:w="1806" w:type="dxa"/>
            <w:vAlign w:val="center"/>
          </w:tcPr>
          <w:p w14:paraId="3540A184">
            <w:pPr>
              <w:spacing w:before="120" w:beforeLines="50"/>
              <w:jc w:val="center"/>
              <w:rPr>
                <w:rFonts w:ascii="宋体" w:hAnsi="宋体" w:cs="Arial"/>
                <w:color w:val="000000"/>
                <w:sz w:val="24"/>
              </w:rPr>
            </w:pPr>
            <w:r>
              <w:rPr>
                <w:rFonts w:hint="eastAsia" w:ascii="宋体" w:hAnsi="宋体" w:cs="Arial"/>
                <w:color w:val="000000"/>
                <w:sz w:val="24"/>
              </w:rPr>
              <w:t>规格型号</w:t>
            </w:r>
          </w:p>
        </w:tc>
        <w:tc>
          <w:tcPr>
            <w:tcW w:w="1314" w:type="dxa"/>
            <w:vAlign w:val="center"/>
          </w:tcPr>
          <w:p w14:paraId="37509188">
            <w:pPr>
              <w:spacing w:before="120" w:beforeLines="50"/>
              <w:jc w:val="center"/>
              <w:rPr>
                <w:rFonts w:ascii="宋体" w:hAnsi="宋体" w:cs="Arial"/>
                <w:color w:val="000000"/>
                <w:sz w:val="24"/>
              </w:rPr>
            </w:pPr>
            <w:r>
              <w:rPr>
                <w:rFonts w:hint="eastAsia" w:ascii="宋体" w:hAnsi="宋体" w:cs="Arial"/>
                <w:color w:val="000000"/>
                <w:sz w:val="24"/>
              </w:rPr>
              <w:t>数量（台）</w:t>
            </w:r>
          </w:p>
        </w:tc>
        <w:tc>
          <w:tcPr>
            <w:tcW w:w="1830" w:type="dxa"/>
            <w:vAlign w:val="center"/>
          </w:tcPr>
          <w:p w14:paraId="1AFD0130">
            <w:pPr>
              <w:spacing w:before="120" w:beforeLines="50"/>
              <w:jc w:val="center"/>
              <w:rPr>
                <w:rFonts w:ascii="宋体" w:hAnsi="宋体" w:cs="Arial"/>
                <w:color w:val="000000"/>
                <w:sz w:val="24"/>
              </w:rPr>
            </w:pPr>
            <w:r>
              <w:rPr>
                <w:rFonts w:hint="eastAsia" w:ascii="宋体" w:hAnsi="宋体" w:cs="Arial"/>
                <w:color w:val="000000"/>
                <w:sz w:val="24"/>
              </w:rPr>
              <w:t>单价（元）</w:t>
            </w:r>
          </w:p>
        </w:tc>
      </w:tr>
      <w:tr w14:paraId="356B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0BC1BB9E">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1</w:t>
            </w:r>
          </w:p>
        </w:tc>
        <w:tc>
          <w:tcPr>
            <w:tcW w:w="2572" w:type="dxa"/>
            <w:vAlign w:val="center"/>
          </w:tcPr>
          <w:p w14:paraId="04FBAEFC">
            <w:pPr>
              <w:adjustRightInd w:val="0"/>
              <w:snapToGrid w:val="0"/>
              <w:spacing w:line="360" w:lineRule="auto"/>
              <w:rPr>
                <w:sz w:val="24"/>
              </w:rPr>
            </w:pPr>
          </w:p>
        </w:tc>
        <w:tc>
          <w:tcPr>
            <w:tcW w:w="1806" w:type="dxa"/>
            <w:vAlign w:val="center"/>
          </w:tcPr>
          <w:p w14:paraId="3B13457E">
            <w:pPr>
              <w:spacing w:before="120" w:beforeLines="50"/>
              <w:jc w:val="center"/>
              <w:rPr>
                <w:rFonts w:ascii="宋体" w:hAnsi="宋体"/>
                <w:color w:val="000000"/>
                <w:sz w:val="24"/>
              </w:rPr>
            </w:pPr>
          </w:p>
        </w:tc>
        <w:tc>
          <w:tcPr>
            <w:tcW w:w="1314" w:type="dxa"/>
            <w:vAlign w:val="center"/>
          </w:tcPr>
          <w:p w14:paraId="7C2D3916">
            <w:pPr>
              <w:widowControl/>
              <w:spacing w:before="120" w:beforeLines="50"/>
              <w:jc w:val="center"/>
              <w:rPr>
                <w:rFonts w:ascii="宋体" w:hAnsi="宋体" w:cs="宋体"/>
                <w:color w:val="000000"/>
                <w:kern w:val="0"/>
                <w:sz w:val="24"/>
              </w:rPr>
            </w:pPr>
          </w:p>
        </w:tc>
        <w:tc>
          <w:tcPr>
            <w:tcW w:w="1830" w:type="dxa"/>
            <w:vAlign w:val="center"/>
          </w:tcPr>
          <w:p w14:paraId="7FF4F0BD">
            <w:pPr>
              <w:pStyle w:val="13"/>
              <w:snapToGrid w:val="0"/>
              <w:spacing w:before="120" w:beforeLines="50" w:beforeAutospacing="0" w:after="0" w:afterAutospacing="0"/>
              <w:jc w:val="center"/>
              <w:rPr>
                <w:rFonts w:ascii="宋体" w:hAnsi="宋体"/>
                <w:color w:val="000000"/>
              </w:rPr>
            </w:pPr>
          </w:p>
        </w:tc>
      </w:tr>
      <w:tr w14:paraId="132F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7D4F4C0F">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2</w:t>
            </w:r>
          </w:p>
        </w:tc>
        <w:tc>
          <w:tcPr>
            <w:tcW w:w="2572" w:type="dxa"/>
            <w:vAlign w:val="center"/>
          </w:tcPr>
          <w:p w14:paraId="35B7EF43">
            <w:pPr>
              <w:adjustRightInd w:val="0"/>
              <w:snapToGrid w:val="0"/>
              <w:spacing w:line="360" w:lineRule="auto"/>
              <w:rPr>
                <w:sz w:val="24"/>
              </w:rPr>
            </w:pPr>
          </w:p>
        </w:tc>
        <w:tc>
          <w:tcPr>
            <w:tcW w:w="1806" w:type="dxa"/>
            <w:vAlign w:val="center"/>
          </w:tcPr>
          <w:p w14:paraId="190511F8">
            <w:pPr>
              <w:spacing w:before="120" w:beforeLines="50"/>
              <w:jc w:val="center"/>
              <w:rPr>
                <w:rFonts w:ascii="宋体" w:hAnsi="宋体"/>
                <w:color w:val="000000"/>
                <w:sz w:val="24"/>
              </w:rPr>
            </w:pPr>
          </w:p>
        </w:tc>
        <w:tc>
          <w:tcPr>
            <w:tcW w:w="1314" w:type="dxa"/>
            <w:vAlign w:val="center"/>
          </w:tcPr>
          <w:p w14:paraId="6AE275D9">
            <w:pPr>
              <w:widowControl/>
              <w:spacing w:before="120" w:beforeLines="50"/>
              <w:jc w:val="center"/>
              <w:rPr>
                <w:rFonts w:ascii="宋体" w:hAnsi="宋体" w:cs="宋体"/>
                <w:color w:val="000000"/>
                <w:kern w:val="0"/>
                <w:sz w:val="24"/>
              </w:rPr>
            </w:pPr>
          </w:p>
        </w:tc>
        <w:tc>
          <w:tcPr>
            <w:tcW w:w="1830" w:type="dxa"/>
            <w:vAlign w:val="center"/>
          </w:tcPr>
          <w:p w14:paraId="42B697ED">
            <w:pPr>
              <w:pStyle w:val="13"/>
              <w:snapToGrid w:val="0"/>
              <w:spacing w:before="120" w:beforeLines="50" w:beforeAutospacing="0" w:after="0" w:afterAutospacing="0"/>
              <w:jc w:val="center"/>
              <w:rPr>
                <w:rFonts w:ascii="宋体" w:hAnsi="宋体"/>
                <w:color w:val="000000"/>
              </w:rPr>
            </w:pPr>
          </w:p>
        </w:tc>
      </w:tr>
      <w:tr w14:paraId="5228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05D85121">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3</w:t>
            </w:r>
          </w:p>
        </w:tc>
        <w:tc>
          <w:tcPr>
            <w:tcW w:w="2572" w:type="dxa"/>
            <w:vAlign w:val="center"/>
          </w:tcPr>
          <w:p w14:paraId="27A1302B">
            <w:pPr>
              <w:adjustRightInd w:val="0"/>
              <w:snapToGrid w:val="0"/>
              <w:spacing w:line="360" w:lineRule="auto"/>
              <w:rPr>
                <w:sz w:val="24"/>
              </w:rPr>
            </w:pPr>
          </w:p>
        </w:tc>
        <w:tc>
          <w:tcPr>
            <w:tcW w:w="1806" w:type="dxa"/>
            <w:vAlign w:val="center"/>
          </w:tcPr>
          <w:p w14:paraId="6DB6026D">
            <w:pPr>
              <w:spacing w:before="120" w:beforeLines="50"/>
              <w:jc w:val="center"/>
              <w:rPr>
                <w:rFonts w:ascii="宋体" w:hAnsi="宋体"/>
                <w:color w:val="000000"/>
                <w:sz w:val="24"/>
              </w:rPr>
            </w:pPr>
          </w:p>
        </w:tc>
        <w:tc>
          <w:tcPr>
            <w:tcW w:w="1314" w:type="dxa"/>
            <w:vAlign w:val="center"/>
          </w:tcPr>
          <w:p w14:paraId="558BEE88">
            <w:pPr>
              <w:widowControl/>
              <w:spacing w:before="120" w:beforeLines="50"/>
              <w:jc w:val="center"/>
              <w:rPr>
                <w:rFonts w:ascii="宋体" w:hAnsi="宋体" w:cs="宋体"/>
                <w:color w:val="000000"/>
                <w:kern w:val="0"/>
                <w:sz w:val="24"/>
              </w:rPr>
            </w:pPr>
          </w:p>
        </w:tc>
        <w:tc>
          <w:tcPr>
            <w:tcW w:w="1830" w:type="dxa"/>
            <w:vAlign w:val="center"/>
          </w:tcPr>
          <w:p w14:paraId="317E8F50">
            <w:pPr>
              <w:pStyle w:val="13"/>
              <w:snapToGrid w:val="0"/>
              <w:spacing w:before="120" w:beforeLines="50" w:beforeAutospacing="0" w:after="0" w:afterAutospacing="0"/>
              <w:jc w:val="center"/>
              <w:rPr>
                <w:rFonts w:ascii="宋体" w:hAnsi="宋体"/>
                <w:color w:val="000000"/>
              </w:rPr>
            </w:pPr>
          </w:p>
        </w:tc>
      </w:tr>
      <w:tr w14:paraId="093A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4B265E7D">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4</w:t>
            </w:r>
          </w:p>
        </w:tc>
        <w:tc>
          <w:tcPr>
            <w:tcW w:w="2572" w:type="dxa"/>
            <w:vAlign w:val="center"/>
          </w:tcPr>
          <w:p w14:paraId="4730C6D9">
            <w:pPr>
              <w:adjustRightInd w:val="0"/>
              <w:snapToGrid w:val="0"/>
              <w:spacing w:line="360" w:lineRule="auto"/>
              <w:rPr>
                <w:sz w:val="24"/>
              </w:rPr>
            </w:pPr>
          </w:p>
        </w:tc>
        <w:tc>
          <w:tcPr>
            <w:tcW w:w="1806" w:type="dxa"/>
            <w:vAlign w:val="center"/>
          </w:tcPr>
          <w:p w14:paraId="59F612E4">
            <w:pPr>
              <w:spacing w:before="120" w:beforeLines="50"/>
              <w:jc w:val="center"/>
              <w:rPr>
                <w:rFonts w:ascii="宋体" w:hAnsi="宋体"/>
                <w:color w:val="000000"/>
                <w:sz w:val="24"/>
              </w:rPr>
            </w:pPr>
          </w:p>
        </w:tc>
        <w:tc>
          <w:tcPr>
            <w:tcW w:w="1314" w:type="dxa"/>
            <w:vAlign w:val="center"/>
          </w:tcPr>
          <w:p w14:paraId="44C71434">
            <w:pPr>
              <w:widowControl/>
              <w:spacing w:before="120" w:beforeLines="50"/>
              <w:jc w:val="center"/>
              <w:rPr>
                <w:rFonts w:ascii="宋体" w:hAnsi="宋体" w:cs="宋体"/>
                <w:color w:val="000000"/>
                <w:kern w:val="0"/>
                <w:sz w:val="24"/>
              </w:rPr>
            </w:pPr>
          </w:p>
        </w:tc>
        <w:tc>
          <w:tcPr>
            <w:tcW w:w="1830" w:type="dxa"/>
            <w:vAlign w:val="center"/>
          </w:tcPr>
          <w:p w14:paraId="607F3766">
            <w:pPr>
              <w:pStyle w:val="13"/>
              <w:snapToGrid w:val="0"/>
              <w:spacing w:before="120" w:beforeLines="50" w:beforeAutospacing="0" w:after="0" w:afterAutospacing="0"/>
              <w:jc w:val="center"/>
              <w:rPr>
                <w:rFonts w:ascii="宋体" w:hAnsi="宋体"/>
                <w:color w:val="000000"/>
              </w:rPr>
            </w:pPr>
          </w:p>
        </w:tc>
      </w:tr>
      <w:tr w14:paraId="6423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2D2CBDFF">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5</w:t>
            </w:r>
          </w:p>
        </w:tc>
        <w:tc>
          <w:tcPr>
            <w:tcW w:w="2572" w:type="dxa"/>
            <w:vAlign w:val="center"/>
          </w:tcPr>
          <w:p w14:paraId="491D1498">
            <w:pPr>
              <w:widowControl/>
              <w:spacing w:before="120" w:beforeLines="50"/>
              <w:jc w:val="left"/>
              <w:rPr>
                <w:rFonts w:ascii="宋体" w:hAnsi="宋体" w:cs="宋体"/>
                <w:b/>
                <w:color w:val="000000"/>
                <w:kern w:val="0"/>
                <w:sz w:val="24"/>
              </w:rPr>
            </w:pPr>
          </w:p>
        </w:tc>
        <w:tc>
          <w:tcPr>
            <w:tcW w:w="1806" w:type="dxa"/>
            <w:vAlign w:val="center"/>
          </w:tcPr>
          <w:p w14:paraId="6362F886">
            <w:pPr>
              <w:spacing w:before="120" w:beforeLines="50"/>
              <w:jc w:val="center"/>
              <w:rPr>
                <w:rFonts w:ascii="宋体" w:hAnsi="宋体"/>
                <w:color w:val="000000"/>
                <w:sz w:val="24"/>
              </w:rPr>
            </w:pPr>
          </w:p>
        </w:tc>
        <w:tc>
          <w:tcPr>
            <w:tcW w:w="1314" w:type="dxa"/>
            <w:vAlign w:val="center"/>
          </w:tcPr>
          <w:p w14:paraId="5BD23B9F">
            <w:pPr>
              <w:widowControl/>
              <w:spacing w:before="120" w:beforeLines="50"/>
              <w:jc w:val="center"/>
              <w:rPr>
                <w:rFonts w:ascii="宋体" w:hAnsi="宋体" w:cs="宋体"/>
                <w:color w:val="000000"/>
                <w:kern w:val="0"/>
                <w:sz w:val="24"/>
              </w:rPr>
            </w:pPr>
          </w:p>
        </w:tc>
        <w:tc>
          <w:tcPr>
            <w:tcW w:w="1830" w:type="dxa"/>
            <w:vAlign w:val="center"/>
          </w:tcPr>
          <w:p w14:paraId="6AC9485F">
            <w:pPr>
              <w:pStyle w:val="13"/>
              <w:snapToGrid w:val="0"/>
              <w:spacing w:before="120" w:beforeLines="50" w:beforeAutospacing="0" w:after="0" w:afterAutospacing="0"/>
              <w:jc w:val="center"/>
              <w:rPr>
                <w:rFonts w:ascii="宋体" w:hAnsi="宋体"/>
                <w:color w:val="000000"/>
              </w:rPr>
            </w:pPr>
          </w:p>
        </w:tc>
      </w:tr>
      <w:tr w14:paraId="2370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55CAAD27">
            <w:pPr>
              <w:pStyle w:val="13"/>
              <w:snapToGrid w:val="0"/>
              <w:spacing w:before="120" w:beforeLines="50" w:beforeAutospacing="0" w:after="0" w:afterAutospacing="0"/>
              <w:jc w:val="center"/>
              <w:rPr>
                <w:rFonts w:ascii="宋体" w:hAnsi="宋体"/>
                <w:color w:val="000000"/>
              </w:rPr>
            </w:pPr>
            <w:r>
              <w:rPr>
                <w:rFonts w:hint="eastAsia" w:ascii="宋体" w:hAnsi="宋体"/>
                <w:color w:val="000000"/>
              </w:rPr>
              <w:t>n</w:t>
            </w:r>
          </w:p>
        </w:tc>
        <w:tc>
          <w:tcPr>
            <w:tcW w:w="2572" w:type="dxa"/>
            <w:vAlign w:val="center"/>
          </w:tcPr>
          <w:p w14:paraId="1185B316">
            <w:pPr>
              <w:widowControl/>
              <w:spacing w:before="120" w:beforeLines="50"/>
              <w:jc w:val="left"/>
              <w:rPr>
                <w:rFonts w:ascii="宋体" w:hAnsi="宋体" w:cs="宋体"/>
                <w:color w:val="000000"/>
                <w:kern w:val="0"/>
                <w:sz w:val="24"/>
              </w:rPr>
            </w:pPr>
          </w:p>
        </w:tc>
        <w:tc>
          <w:tcPr>
            <w:tcW w:w="1806" w:type="dxa"/>
            <w:vAlign w:val="center"/>
          </w:tcPr>
          <w:p w14:paraId="5BDAC937">
            <w:pPr>
              <w:spacing w:before="120" w:beforeLines="50"/>
              <w:jc w:val="center"/>
              <w:rPr>
                <w:rFonts w:ascii="宋体" w:hAnsi="宋体"/>
                <w:color w:val="000000"/>
                <w:sz w:val="24"/>
              </w:rPr>
            </w:pPr>
          </w:p>
        </w:tc>
        <w:tc>
          <w:tcPr>
            <w:tcW w:w="1314" w:type="dxa"/>
            <w:vAlign w:val="center"/>
          </w:tcPr>
          <w:p w14:paraId="762804C9">
            <w:pPr>
              <w:widowControl/>
              <w:spacing w:before="120" w:beforeLines="50"/>
              <w:jc w:val="center"/>
              <w:rPr>
                <w:rFonts w:ascii="宋体" w:hAnsi="宋体" w:cs="宋体"/>
                <w:color w:val="000000"/>
                <w:kern w:val="0"/>
                <w:sz w:val="24"/>
              </w:rPr>
            </w:pPr>
          </w:p>
        </w:tc>
        <w:tc>
          <w:tcPr>
            <w:tcW w:w="1830" w:type="dxa"/>
            <w:vAlign w:val="center"/>
          </w:tcPr>
          <w:p w14:paraId="1F573CB1">
            <w:pPr>
              <w:pStyle w:val="13"/>
              <w:snapToGrid w:val="0"/>
              <w:spacing w:before="120" w:beforeLines="50" w:beforeAutospacing="0" w:after="0" w:afterAutospacing="0"/>
              <w:jc w:val="center"/>
              <w:rPr>
                <w:rFonts w:ascii="宋体" w:hAnsi="宋体"/>
                <w:color w:val="000000"/>
              </w:rPr>
            </w:pPr>
          </w:p>
        </w:tc>
      </w:tr>
      <w:tr w14:paraId="27B5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27CE9368">
            <w:pPr>
              <w:pStyle w:val="13"/>
              <w:snapToGrid w:val="0"/>
              <w:spacing w:before="120" w:beforeLines="50" w:beforeAutospacing="0" w:after="0" w:afterAutospacing="0"/>
              <w:jc w:val="center"/>
              <w:rPr>
                <w:rFonts w:ascii="宋体" w:hAnsi="宋体"/>
                <w:color w:val="000000"/>
              </w:rPr>
            </w:pPr>
          </w:p>
        </w:tc>
        <w:tc>
          <w:tcPr>
            <w:tcW w:w="2572" w:type="dxa"/>
            <w:vAlign w:val="center"/>
          </w:tcPr>
          <w:p w14:paraId="3F7CDA5F">
            <w:pPr>
              <w:widowControl/>
              <w:spacing w:before="120" w:beforeLines="50"/>
              <w:jc w:val="center"/>
              <w:rPr>
                <w:rFonts w:ascii="宋体" w:hAnsi="宋体" w:cs="宋体"/>
                <w:color w:val="000000"/>
                <w:kern w:val="0"/>
                <w:sz w:val="24"/>
              </w:rPr>
            </w:pPr>
            <w:r>
              <w:rPr>
                <w:rFonts w:hint="eastAsia" w:ascii="宋体" w:hAnsi="宋体" w:cs="宋体"/>
                <w:color w:val="000000"/>
                <w:kern w:val="0"/>
                <w:sz w:val="24"/>
              </w:rPr>
              <w:t>合    计</w:t>
            </w:r>
          </w:p>
        </w:tc>
        <w:tc>
          <w:tcPr>
            <w:tcW w:w="4950" w:type="dxa"/>
            <w:gridSpan w:val="3"/>
            <w:vAlign w:val="center"/>
          </w:tcPr>
          <w:p w14:paraId="73D10827">
            <w:pPr>
              <w:pStyle w:val="13"/>
              <w:snapToGrid w:val="0"/>
              <w:spacing w:before="120" w:beforeLines="50" w:beforeAutospacing="0" w:after="0" w:afterAutospacing="0"/>
              <w:jc w:val="center"/>
              <w:rPr>
                <w:rFonts w:ascii="宋体" w:hAnsi="宋体"/>
                <w:color w:val="000000"/>
              </w:rPr>
            </w:pPr>
          </w:p>
        </w:tc>
      </w:tr>
    </w:tbl>
    <w:p w14:paraId="683B4034">
      <w:pPr>
        <w:spacing w:line="360" w:lineRule="exact"/>
        <w:ind w:firstLine="3357" w:firstLineChars="1045"/>
        <w:rPr>
          <w:rFonts w:ascii="仿宋_GB2312" w:eastAsia="仿宋_GB2312"/>
          <w:b/>
          <w:sz w:val="32"/>
          <w:szCs w:val="32"/>
        </w:rPr>
      </w:pPr>
    </w:p>
    <w:p w14:paraId="31C14243">
      <w:pPr>
        <w:spacing w:line="560" w:lineRule="exact"/>
        <w:rPr>
          <w:rFonts w:ascii="仿宋_GB2312" w:eastAsia="仿宋_GB2312"/>
          <w:sz w:val="32"/>
          <w:szCs w:val="32"/>
        </w:rPr>
      </w:pPr>
      <w:r>
        <w:rPr>
          <w:rFonts w:hint="eastAsia" w:ascii="仿宋_GB2312" w:eastAsia="仿宋_GB2312"/>
          <w:b/>
          <w:sz w:val="32"/>
          <w:szCs w:val="32"/>
        </w:rPr>
        <w:t>合计总金额</w:t>
      </w:r>
      <w:r>
        <w:rPr>
          <w:rFonts w:hint="eastAsia" w:ascii="仿宋_GB2312" w:eastAsia="仿宋_GB2312"/>
          <w:sz w:val="32"/>
          <w:szCs w:val="32"/>
        </w:rPr>
        <w:t>：人民币大写</w:t>
      </w:r>
      <w:r>
        <w:rPr>
          <w:rFonts w:hint="eastAsia" w:ascii="Arial" w:hAnsi="Arial" w:cs="Arial"/>
          <w:sz w:val="30"/>
          <w:szCs w:val="30"/>
        </w:rPr>
        <w:t>：</w:t>
      </w:r>
      <w:r>
        <w:rPr>
          <w:rFonts w:hint="eastAsia" w:ascii="Arial" w:hAnsi="Arial" w:cs="Arial"/>
          <w:sz w:val="30"/>
          <w:szCs w:val="30"/>
          <w:u w:val="single"/>
        </w:rPr>
        <w:t xml:space="preserve">                   </w:t>
      </w:r>
      <w:r>
        <w:rPr>
          <w:rFonts w:hint="eastAsia" w:ascii="Arial" w:hAnsi="Arial" w:cs="Arial"/>
          <w:sz w:val="24"/>
          <w:u w:val="single"/>
        </w:rPr>
        <w:t xml:space="preserve">          </w:t>
      </w:r>
      <w:r>
        <w:rPr>
          <w:rFonts w:hint="eastAsia" w:ascii="仿宋_GB2312" w:eastAsia="仿宋_GB2312"/>
          <w:sz w:val="32"/>
          <w:szCs w:val="32"/>
        </w:rPr>
        <w:t>元</w:t>
      </w:r>
      <w:r>
        <w:rPr>
          <w:rFonts w:hint="eastAsia" w:ascii="Arial" w:hAnsi="Arial" w:cs="Arial"/>
          <w:sz w:val="24"/>
        </w:rPr>
        <w:t>。</w:t>
      </w:r>
      <w:r>
        <w:rPr>
          <w:rFonts w:hint="eastAsia" w:ascii="仿宋_GB2312" w:eastAsia="仿宋_GB2312"/>
          <w:sz w:val="32"/>
          <w:szCs w:val="32"/>
        </w:rPr>
        <w:t>（含增值税税率</w:t>
      </w:r>
      <w:r>
        <w:rPr>
          <w:rFonts w:ascii="仿宋_GB2312" w:eastAsia="仿宋_GB2312"/>
          <w:sz w:val="32"/>
          <w:szCs w:val="32"/>
        </w:rPr>
        <w:t>1</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w:t>
      </w:r>
    </w:p>
    <w:p w14:paraId="7A526A52">
      <w:pPr>
        <w:spacing w:before="120" w:beforeLines="50" w:after="120" w:afterLines="50" w:line="300" w:lineRule="exact"/>
        <w:rPr>
          <w:rFonts w:ascii="宋体" w:hAnsi="Arial" w:cs="Arial"/>
          <w:sz w:val="24"/>
        </w:rPr>
      </w:pPr>
    </w:p>
    <w:p w14:paraId="3CBC44BA">
      <w:pPr>
        <w:spacing w:before="480" w:beforeLines="200" w:after="120" w:afterLines="50" w:line="600" w:lineRule="exact"/>
        <w:ind w:firstLine="4620" w:firstLineChars="1650"/>
        <w:rPr>
          <w:rFonts w:ascii="宋体" w:hAnsi="Arial" w:cs="Arial"/>
          <w:sz w:val="28"/>
          <w:szCs w:val="28"/>
        </w:rPr>
      </w:pPr>
      <w:r>
        <w:rPr>
          <w:rFonts w:hint="eastAsia" w:ascii="宋体" w:hAnsi="Arial" w:cs="Arial"/>
          <w:sz w:val="28"/>
          <w:szCs w:val="28"/>
        </w:rPr>
        <w:t>投标单位盖章</w:t>
      </w:r>
    </w:p>
    <w:p w14:paraId="30613740">
      <w:pPr>
        <w:spacing w:line="600" w:lineRule="exact"/>
        <w:ind w:right="480" w:firstLine="4620" w:firstLineChars="1650"/>
        <w:rPr>
          <w:rFonts w:ascii="宋体" w:hAnsi="Arial" w:cs="Arial"/>
          <w:sz w:val="28"/>
          <w:szCs w:val="28"/>
        </w:rPr>
      </w:pPr>
      <w:r>
        <w:rPr>
          <w:rFonts w:hint="eastAsia" w:ascii="宋体" w:hAnsi="Arial" w:cs="Arial"/>
          <w:sz w:val="28"/>
          <w:szCs w:val="28"/>
        </w:rPr>
        <w:t>投标人代表签字：</w:t>
      </w:r>
    </w:p>
    <w:p w14:paraId="14573C0D">
      <w:pPr>
        <w:spacing w:line="600" w:lineRule="exact"/>
        <w:ind w:firstLine="5320" w:firstLineChars="1900"/>
        <w:rPr>
          <w:rFonts w:ascii="宋体" w:hAnsi="Arial" w:cs="Arial"/>
          <w:sz w:val="28"/>
          <w:szCs w:val="28"/>
        </w:rPr>
      </w:pPr>
      <w:r>
        <w:rPr>
          <w:rFonts w:hint="eastAsia" w:ascii="宋体" w:hAnsi="Arial" w:cs="Arial"/>
          <w:sz w:val="28"/>
          <w:szCs w:val="28"/>
        </w:rPr>
        <w:t>年   月   日</w:t>
      </w:r>
    </w:p>
    <w:p w14:paraId="4DFEA0BF">
      <w:pPr>
        <w:spacing w:line="522" w:lineRule="exact"/>
        <w:jc w:val="center"/>
        <w:rPr>
          <w:rFonts w:ascii="Microsoft JhengHei" w:eastAsiaTheme="minorEastAsia"/>
          <w:b/>
          <w:sz w:val="44"/>
          <w:szCs w:val="44"/>
        </w:rPr>
      </w:pPr>
    </w:p>
    <w:p w14:paraId="08A7EC8B">
      <w:pPr>
        <w:spacing w:line="522" w:lineRule="exact"/>
        <w:jc w:val="center"/>
        <w:rPr>
          <w:rFonts w:ascii="Microsoft JhengHei" w:eastAsiaTheme="minorEastAsia"/>
          <w:b/>
          <w:sz w:val="44"/>
          <w:szCs w:val="44"/>
        </w:rPr>
      </w:pPr>
      <w:r>
        <w:rPr>
          <w:rFonts w:hint="eastAsia" w:ascii="Microsoft JhengHei" w:eastAsiaTheme="minorEastAsia"/>
          <w:b/>
          <w:sz w:val="44"/>
          <w:szCs w:val="44"/>
        </w:rPr>
        <w:t>三、投标方的资格证明材料</w:t>
      </w:r>
    </w:p>
    <w:p w14:paraId="677D4738">
      <w:pPr>
        <w:spacing w:line="522" w:lineRule="exact"/>
        <w:jc w:val="center"/>
        <w:rPr>
          <w:rFonts w:ascii="Microsoft JhengHei" w:eastAsiaTheme="minorEastAsia"/>
          <w:b/>
          <w:sz w:val="32"/>
        </w:rPr>
      </w:pPr>
    </w:p>
    <w:p w14:paraId="45CFE5F7">
      <w:pPr>
        <w:spacing w:line="600" w:lineRule="exact"/>
        <w:rPr>
          <w:rFonts w:ascii="宋体" w:hAnsi="Arial" w:cs="Arial"/>
          <w:sz w:val="28"/>
          <w:szCs w:val="28"/>
        </w:rPr>
      </w:pPr>
      <w:r>
        <w:rPr>
          <w:rFonts w:hint="eastAsia" w:ascii="宋体" w:hAnsi="Arial" w:cs="Arial"/>
          <w:sz w:val="28"/>
          <w:szCs w:val="28"/>
        </w:rPr>
        <w:t>①</w:t>
      </w:r>
    </w:p>
    <w:p w14:paraId="67FF9916">
      <w:pPr>
        <w:spacing w:line="522" w:lineRule="exact"/>
        <w:jc w:val="center"/>
        <w:rPr>
          <w:rFonts w:ascii="Microsoft JhengHei" w:eastAsia="Microsoft JhengHei"/>
          <w:b/>
          <w:sz w:val="32"/>
        </w:rPr>
      </w:pPr>
      <w:r>
        <w:rPr>
          <w:rFonts w:hint="eastAsia" w:ascii="Microsoft JhengHei" w:eastAsia="Microsoft JhengHei"/>
          <w:b/>
          <w:sz w:val="32"/>
        </w:rPr>
        <w:t>法定代表人身份证明（扫描件）</w:t>
      </w:r>
    </w:p>
    <w:p w14:paraId="01024ACD">
      <w:pPr>
        <w:pStyle w:val="7"/>
        <w:tabs>
          <w:tab w:val="left" w:pos="2880"/>
        </w:tabs>
        <w:rPr>
          <w:rFonts w:ascii="Microsoft JhengHei"/>
          <w:b/>
          <w:sz w:val="20"/>
        </w:rPr>
      </w:pPr>
      <w:r>
        <w:rPr>
          <w:rFonts w:ascii="Microsoft JhengHei"/>
          <w:b/>
          <w:sz w:val="20"/>
        </w:rPr>
        <w:tab/>
      </w:r>
    </w:p>
    <w:p w14:paraId="7C7904B6">
      <w:pPr>
        <w:pStyle w:val="7"/>
        <w:spacing w:before="17"/>
        <w:rPr>
          <w:rFonts w:ascii="Microsoft JhengHei"/>
          <w:b/>
          <w:sz w:val="18"/>
        </w:rPr>
      </w:pPr>
    </w:p>
    <w:p w14:paraId="11EEB70B">
      <w:pPr>
        <w:pStyle w:val="7"/>
        <w:spacing w:before="70" w:line="470" w:lineRule="auto"/>
        <w:ind w:right="-2"/>
        <w:rPr>
          <w:u w:val="single"/>
        </w:rPr>
      </w:pPr>
      <w:r>
        <w:t>投标人名称：</w:t>
      </w:r>
      <w:r>
        <w:rPr>
          <w:rFonts w:hint="eastAsia"/>
          <w:u w:val="single"/>
        </w:rPr>
        <w:t xml:space="preserve">                                   </w:t>
      </w:r>
    </w:p>
    <w:p w14:paraId="7F3A32ED">
      <w:pPr>
        <w:pStyle w:val="7"/>
        <w:spacing w:before="70" w:line="470" w:lineRule="auto"/>
        <w:ind w:right="-2"/>
        <w:rPr>
          <w:u w:val="single"/>
        </w:rPr>
      </w:pPr>
      <w:r>
        <w:t>注册号：</w:t>
      </w:r>
      <w:r>
        <w:rPr>
          <w:rFonts w:hint="eastAsia"/>
          <w:u w:val="single"/>
        </w:rPr>
        <w:t xml:space="preserve">                                       </w:t>
      </w:r>
    </w:p>
    <w:p w14:paraId="6C4F323D">
      <w:pPr>
        <w:pStyle w:val="7"/>
        <w:spacing w:before="3"/>
        <w:rPr>
          <w:u w:val="single"/>
        </w:rPr>
      </w:pPr>
      <w:r>
        <w:t>注册地址：</w:t>
      </w:r>
      <w:r>
        <w:rPr>
          <w:rFonts w:hint="eastAsia"/>
        </w:rPr>
        <w:t xml:space="preserve"> </w:t>
      </w:r>
      <w:r>
        <w:rPr>
          <w:rFonts w:hint="eastAsia"/>
          <w:u w:val="single"/>
        </w:rPr>
        <w:t xml:space="preserve">                                    </w:t>
      </w:r>
    </w:p>
    <w:p w14:paraId="79BF673D">
      <w:pPr>
        <w:pStyle w:val="7"/>
        <w:spacing w:before="3"/>
        <w:rPr>
          <w:sz w:val="20"/>
        </w:rPr>
      </w:pPr>
    </w:p>
    <w:p w14:paraId="29A9F660">
      <w:pPr>
        <w:pStyle w:val="7"/>
        <w:spacing w:line="470" w:lineRule="auto"/>
        <w:ind w:left="204" w:right="-2" w:hanging="204" w:hangingChars="100"/>
        <w:rPr>
          <w:spacing w:val="-3"/>
          <w:u w:val="single"/>
        </w:rPr>
      </w:pPr>
      <w:r>
        <w:rPr>
          <w:spacing w:val="-3"/>
        </w:rPr>
        <w:t>成立时间：</w:t>
      </w:r>
      <w:r>
        <w:rPr>
          <w:rFonts w:hint="eastAsia"/>
          <w:spacing w:val="-3"/>
          <w:u w:val="single"/>
        </w:rPr>
        <w:t xml:space="preserve">                                        </w:t>
      </w:r>
    </w:p>
    <w:p w14:paraId="31824877">
      <w:pPr>
        <w:pStyle w:val="7"/>
        <w:spacing w:line="470" w:lineRule="auto"/>
        <w:ind w:left="210" w:right="-2" w:hanging="210" w:hangingChars="100"/>
        <w:rPr>
          <w:u w:val="single"/>
        </w:rPr>
      </w:pPr>
      <w:r>
        <w:t>经营期限：</w:t>
      </w:r>
      <w:r>
        <w:rPr>
          <w:rFonts w:hint="eastAsia"/>
          <w:u w:val="single"/>
        </w:rPr>
        <w:t xml:space="preserve">                                     </w:t>
      </w:r>
    </w:p>
    <w:p w14:paraId="2F8F0CB1">
      <w:pPr>
        <w:pStyle w:val="7"/>
        <w:spacing w:before="2"/>
        <w:rPr>
          <w:u w:val="single"/>
        </w:rPr>
      </w:pPr>
      <w:r>
        <w:t>经营范围：</w:t>
      </w:r>
      <w:r>
        <w:rPr>
          <w:rFonts w:hint="eastAsia"/>
          <w:u w:val="single"/>
        </w:rPr>
        <w:t xml:space="preserve">                                    </w:t>
      </w:r>
    </w:p>
    <w:p w14:paraId="5C444B47">
      <w:pPr>
        <w:pStyle w:val="7"/>
        <w:spacing w:before="3"/>
        <w:rPr>
          <w:sz w:val="20"/>
        </w:rPr>
      </w:pPr>
    </w:p>
    <w:p w14:paraId="206F863E">
      <w:pPr>
        <w:pStyle w:val="7"/>
        <w:spacing w:line="470" w:lineRule="auto"/>
        <w:ind w:right="4085"/>
      </w:pPr>
      <w:r>
        <w:t>姓名：性别：年龄：职务：系（投标人名称）</w:t>
      </w:r>
      <w:r>
        <w:rPr>
          <w:spacing w:val="-3"/>
        </w:rPr>
        <w:t>的法定代表人。</w:t>
      </w:r>
      <w:r>
        <w:t>特此证明。</w:t>
      </w:r>
    </w:p>
    <w:tbl>
      <w:tblPr>
        <w:tblStyle w:val="15"/>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288"/>
      </w:tblGrid>
      <w:tr w14:paraId="30B5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14:paraId="15FEE908">
            <w:pPr>
              <w:adjustRightInd w:val="0"/>
              <w:snapToGrid w:val="0"/>
              <w:spacing w:line="360" w:lineRule="auto"/>
              <w:ind w:right="420"/>
              <w:rPr>
                <w:rFonts w:ascii="宋体" w:hAnsi="宋体"/>
                <w:szCs w:val="21"/>
              </w:rPr>
            </w:pPr>
          </w:p>
          <w:p w14:paraId="4C45A059">
            <w:pPr>
              <w:adjustRightInd w:val="0"/>
              <w:snapToGrid w:val="0"/>
              <w:spacing w:line="360" w:lineRule="auto"/>
              <w:ind w:right="420"/>
              <w:rPr>
                <w:rFonts w:ascii="宋体" w:hAnsi="宋体"/>
                <w:szCs w:val="21"/>
              </w:rPr>
            </w:pPr>
          </w:p>
          <w:p w14:paraId="4A869D1A">
            <w:pPr>
              <w:adjustRightInd w:val="0"/>
              <w:snapToGrid w:val="0"/>
              <w:spacing w:line="360" w:lineRule="auto"/>
              <w:ind w:right="420"/>
              <w:jc w:val="center"/>
              <w:rPr>
                <w:rFonts w:ascii="宋体" w:hAnsi="宋体"/>
                <w:szCs w:val="21"/>
              </w:rPr>
            </w:pPr>
            <w:r>
              <w:rPr>
                <w:rFonts w:hint="eastAsia" w:ascii="宋体" w:hAnsi="宋体"/>
                <w:szCs w:val="21"/>
              </w:rPr>
              <w:t>身份证正反面扫描件</w:t>
            </w:r>
          </w:p>
          <w:p w14:paraId="5A018819">
            <w:pPr>
              <w:adjustRightInd w:val="0"/>
              <w:snapToGrid w:val="0"/>
              <w:spacing w:line="360" w:lineRule="auto"/>
              <w:ind w:right="420"/>
              <w:rPr>
                <w:rFonts w:ascii="宋体" w:hAnsi="宋体"/>
                <w:szCs w:val="21"/>
              </w:rPr>
            </w:pPr>
          </w:p>
          <w:p w14:paraId="649CB1AD">
            <w:pPr>
              <w:adjustRightInd w:val="0"/>
              <w:snapToGrid w:val="0"/>
              <w:spacing w:line="360" w:lineRule="auto"/>
              <w:ind w:right="420"/>
              <w:rPr>
                <w:rFonts w:ascii="宋体" w:hAnsi="宋体"/>
                <w:szCs w:val="21"/>
              </w:rPr>
            </w:pPr>
          </w:p>
          <w:p w14:paraId="694C9F21">
            <w:pPr>
              <w:adjustRightInd w:val="0"/>
              <w:snapToGrid w:val="0"/>
              <w:spacing w:line="360" w:lineRule="auto"/>
              <w:ind w:right="420"/>
              <w:rPr>
                <w:rFonts w:ascii="宋体" w:hAnsi="宋体"/>
                <w:szCs w:val="21"/>
              </w:rPr>
            </w:pPr>
          </w:p>
        </w:tc>
        <w:tc>
          <w:tcPr>
            <w:tcW w:w="4288" w:type="dxa"/>
          </w:tcPr>
          <w:p w14:paraId="3F2DD0DF">
            <w:pPr>
              <w:adjustRightInd w:val="0"/>
              <w:snapToGrid w:val="0"/>
              <w:spacing w:line="360" w:lineRule="auto"/>
              <w:ind w:right="420"/>
              <w:rPr>
                <w:rFonts w:ascii="宋体" w:hAnsi="宋体"/>
                <w:szCs w:val="21"/>
              </w:rPr>
            </w:pPr>
          </w:p>
        </w:tc>
      </w:tr>
    </w:tbl>
    <w:p w14:paraId="01837FD1">
      <w:pPr>
        <w:adjustRightInd w:val="0"/>
        <w:snapToGrid w:val="0"/>
        <w:spacing w:line="360" w:lineRule="auto"/>
        <w:ind w:right="420"/>
        <w:rPr>
          <w:rFonts w:ascii="宋体" w:hAnsi="宋体"/>
          <w:szCs w:val="21"/>
        </w:rPr>
      </w:pPr>
    </w:p>
    <w:p w14:paraId="5C6EBC8F">
      <w:pPr>
        <w:adjustRightInd w:val="0"/>
        <w:snapToGrid w:val="0"/>
        <w:spacing w:line="360" w:lineRule="auto"/>
        <w:ind w:right="420"/>
        <w:rPr>
          <w:rFonts w:ascii="宋体" w:hAnsi="宋体"/>
          <w:szCs w:val="21"/>
        </w:rPr>
      </w:pPr>
    </w:p>
    <w:p w14:paraId="58594A3B">
      <w:pPr>
        <w:adjustRightInd w:val="0"/>
        <w:snapToGrid w:val="0"/>
        <w:spacing w:line="360" w:lineRule="auto"/>
        <w:ind w:right="420"/>
        <w:rPr>
          <w:rFonts w:ascii="宋体" w:hAnsi="宋体"/>
          <w:szCs w:val="21"/>
        </w:rPr>
      </w:pPr>
    </w:p>
    <w:p w14:paraId="5DDE0558">
      <w:pPr>
        <w:adjustRightInd w:val="0"/>
        <w:snapToGrid w:val="0"/>
        <w:spacing w:line="360" w:lineRule="auto"/>
        <w:ind w:right="420"/>
        <w:rPr>
          <w:rFonts w:ascii="宋体" w:hAnsi="宋体"/>
          <w:szCs w:val="21"/>
          <w:u w:val="single"/>
        </w:rPr>
      </w:pPr>
      <w:r>
        <w:rPr>
          <w:rFonts w:hint="eastAsia" w:ascii="宋体" w:hAnsi="宋体"/>
          <w:szCs w:val="21"/>
        </w:rPr>
        <w:t xml:space="preserve">供应商名称： </w:t>
      </w:r>
      <w:r>
        <w:rPr>
          <w:rFonts w:hint="eastAsia" w:ascii="宋体" w:hAnsi="宋体"/>
          <w:szCs w:val="21"/>
          <w:u w:val="single"/>
        </w:rPr>
        <w:t xml:space="preserve">                            </w:t>
      </w:r>
    </w:p>
    <w:p w14:paraId="5E32E22A">
      <w:pPr>
        <w:spacing w:line="600" w:lineRule="exact"/>
        <w:rPr>
          <w:rFonts w:ascii="宋体" w:hAnsi="Arial" w:cs="Arial"/>
          <w:sz w:val="28"/>
          <w:szCs w:val="28"/>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766598EA">
      <w:pPr>
        <w:spacing w:line="600" w:lineRule="exact"/>
        <w:rPr>
          <w:rFonts w:ascii="宋体" w:hAnsi="Arial" w:cs="Arial"/>
          <w:sz w:val="28"/>
          <w:szCs w:val="28"/>
        </w:rPr>
      </w:pPr>
    </w:p>
    <w:p w14:paraId="513C044A">
      <w:pPr>
        <w:spacing w:line="600" w:lineRule="exact"/>
        <w:rPr>
          <w:rFonts w:ascii="宋体" w:hAnsi="Arial" w:cs="Arial"/>
          <w:sz w:val="28"/>
          <w:szCs w:val="28"/>
        </w:rPr>
      </w:pPr>
    </w:p>
    <w:p w14:paraId="4BB47A15">
      <w:pPr>
        <w:spacing w:line="600" w:lineRule="exact"/>
        <w:rPr>
          <w:rFonts w:ascii="宋体" w:hAnsi="Arial" w:cs="Arial"/>
          <w:sz w:val="28"/>
          <w:szCs w:val="28"/>
        </w:rPr>
      </w:pPr>
    </w:p>
    <w:p w14:paraId="7662C1CA">
      <w:pPr>
        <w:spacing w:line="600" w:lineRule="exact"/>
        <w:rPr>
          <w:rFonts w:ascii="宋体" w:hAnsi="Arial" w:cs="Arial"/>
          <w:sz w:val="28"/>
          <w:szCs w:val="28"/>
        </w:rPr>
      </w:pPr>
      <w:r>
        <w:rPr>
          <w:rFonts w:hint="eastAsia" w:ascii="宋体" w:hAnsi="Arial" w:cs="Arial"/>
          <w:sz w:val="28"/>
          <w:szCs w:val="28"/>
        </w:rPr>
        <w:t>②</w:t>
      </w:r>
    </w:p>
    <w:p w14:paraId="44A908A9">
      <w:pPr>
        <w:spacing w:line="600" w:lineRule="exact"/>
        <w:jc w:val="center"/>
        <w:rPr>
          <w:rFonts w:ascii="宋体" w:hAnsi="Arial" w:cs="Arial"/>
          <w:sz w:val="44"/>
          <w:szCs w:val="44"/>
        </w:rPr>
      </w:pPr>
      <w:r>
        <w:rPr>
          <w:rFonts w:hint="eastAsia" w:hAnsi="宋体"/>
          <w:b/>
          <w:sz w:val="44"/>
          <w:szCs w:val="44"/>
        </w:rPr>
        <w:t>法定代表人授权委托书</w:t>
      </w:r>
    </w:p>
    <w:p w14:paraId="1E4EB3F4">
      <w:pPr>
        <w:spacing w:line="300" w:lineRule="auto"/>
        <w:rPr>
          <w:rFonts w:ascii="宋体" w:cs="Arial"/>
          <w:sz w:val="24"/>
        </w:rPr>
      </w:pPr>
    </w:p>
    <w:p w14:paraId="5D1FE46F">
      <w:pPr>
        <w:spacing w:line="560" w:lineRule="exact"/>
        <w:rPr>
          <w:rFonts w:ascii="宋体" w:cs="Arial"/>
          <w:sz w:val="24"/>
        </w:rPr>
      </w:pPr>
      <w:r>
        <w:rPr>
          <w:rFonts w:hint="eastAsia" w:ascii="宋体" w:hAnsi="宋体" w:cs="Arial"/>
          <w:sz w:val="24"/>
        </w:rPr>
        <w:t>致：湖南省湘盐化有限责任公司</w:t>
      </w:r>
    </w:p>
    <w:p w14:paraId="1CE794C3">
      <w:pPr>
        <w:spacing w:line="560" w:lineRule="exact"/>
        <w:ind w:firstLine="480" w:firstLineChars="200"/>
        <w:rPr>
          <w:rFonts w:ascii="宋体" w:cs="Arial"/>
          <w:sz w:val="24"/>
        </w:rPr>
      </w:pPr>
    </w:p>
    <w:p w14:paraId="1A60F99F">
      <w:pPr>
        <w:spacing w:line="560" w:lineRule="exact"/>
        <w:ind w:firstLine="480" w:firstLineChars="200"/>
        <w:rPr>
          <w:rFonts w:ascii="宋体" w:cs="Arial"/>
          <w:sz w:val="24"/>
        </w:rPr>
      </w:pPr>
      <w:r>
        <w:rPr>
          <w:rFonts w:hint="eastAsia" w:ascii="宋体" w:hAnsi="宋体" w:cs="Arial"/>
          <w:sz w:val="24"/>
        </w:rPr>
        <w:t>本人作为</w:t>
      </w:r>
      <w:r>
        <w:rPr>
          <w:rFonts w:hint="eastAsia" w:ascii="宋体" w:hAnsi="宋体" w:cs="Arial"/>
          <w:sz w:val="24"/>
          <w:u w:val="single"/>
        </w:rPr>
        <w:t xml:space="preserve">                   </w:t>
      </w:r>
      <w:r>
        <w:rPr>
          <w:rFonts w:hint="eastAsia" w:ascii="宋体" w:hAnsi="宋体" w:cs="Arial"/>
          <w:sz w:val="24"/>
        </w:rPr>
        <w:t>的法定代表人，在此授权我公司的</w:t>
      </w:r>
      <w:r>
        <w:rPr>
          <w:rFonts w:hint="eastAsia" w:ascii="宋体" w:hAnsi="宋体" w:cs="Arial"/>
          <w:sz w:val="24"/>
          <w:u w:val="single"/>
        </w:rPr>
        <w:t xml:space="preserve">             </w:t>
      </w:r>
      <w:r>
        <w:rPr>
          <w:rFonts w:hint="eastAsia" w:ascii="宋体" w:hAnsi="宋体" w:cs="Arial"/>
          <w:sz w:val="24"/>
        </w:rPr>
        <w:t>，其身份证号码：</w:t>
      </w:r>
      <w:r>
        <w:rPr>
          <w:rFonts w:hint="eastAsia" w:ascii="宋体" w:hAnsi="宋体" w:cs="Arial"/>
          <w:sz w:val="24"/>
          <w:u w:val="single"/>
        </w:rPr>
        <w:t xml:space="preserve">                           </w:t>
      </w:r>
      <w:r>
        <w:rPr>
          <w:rFonts w:hint="eastAsia" w:ascii="宋体" w:hAnsi="宋体" w:cs="Arial"/>
          <w:sz w:val="24"/>
        </w:rPr>
        <w:t>，作为我的合法的授权代表，以我的名义并代表我公司全权处理项目的投标、谈判、签约等具体工作，并签署全部有关的文件、协议及合同。</w:t>
      </w:r>
    </w:p>
    <w:p w14:paraId="6CEA95E7">
      <w:pPr>
        <w:spacing w:line="560" w:lineRule="exact"/>
        <w:ind w:firstLine="480" w:firstLineChars="200"/>
        <w:rPr>
          <w:rFonts w:ascii="宋体" w:cs="Arial"/>
          <w:sz w:val="24"/>
        </w:rPr>
      </w:pPr>
      <w:r>
        <w:rPr>
          <w:rFonts w:hint="eastAsia" w:ascii="宋体" w:hAnsi="宋体" w:cs="Arial"/>
          <w:sz w:val="24"/>
        </w:rPr>
        <w:t>本授权书期限自2024年12月</w:t>
      </w:r>
      <w:r>
        <w:rPr>
          <w:rFonts w:hint="eastAsia" w:ascii="宋体" w:hAnsi="宋体" w:cs="Arial"/>
          <w:sz w:val="24"/>
          <w:u w:val="single"/>
        </w:rPr>
        <w:t xml:space="preserve">    </w:t>
      </w:r>
      <w:r>
        <w:rPr>
          <w:rFonts w:hint="eastAsia" w:ascii="宋体" w:hAnsi="宋体" w:cs="Arial"/>
          <w:sz w:val="24"/>
        </w:rPr>
        <w:t>日起至2025年2月</w:t>
      </w:r>
      <w:r>
        <w:rPr>
          <w:rFonts w:hint="eastAsia" w:ascii="宋体" w:hAnsi="宋体" w:cs="Arial"/>
          <w:sz w:val="24"/>
          <w:u w:val="single"/>
        </w:rPr>
        <w:t xml:space="preserve">    </w:t>
      </w:r>
      <w:r>
        <w:rPr>
          <w:rFonts w:hint="eastAsia" w:ascii="宋体" w:hAnsi="宋体" w:cs="Arial"/>
          <w:sz w:val="24"/>
        </w:rPr>
        <w:t>日止。</w:t>
      </w:r>
    </w:p>
    <w:p w14:paraId="7BF54D31">
      <w:pPr>
        <w:spacing w:line="560" w:lineRule="exact"/>
        <w:ind w:firstLine="480" w:firstLineChars="200"/>
        <w:rPr>
          <w:rFonts w:ascii="宋体" w:cs="Arial"/>
          <w:sz w:val="24"/>
        </w:rPr>
      </w:pPr>
      <w:r>
        <w:rPr>
          <w:rFonts w:hint="eastAsia" w:ascii="宋体" w:hAnsi="宋体" w:cs="Arial"/>
          <w:sz w:val="24"/>
        </w:rPr>
        <w:t>在此授权范围和期限内，被授权人所实施的行为具有法律效力，授权人予以认可。</w:t>
      </w:r>
    </w:p>
    <w:p w14:paraId="25A3ECA1">
      <w:pPr>
        <w:spacing w:line="560" w:lineRule="exact"/>
        <w:ind w:firstLine="480" w:firstLineChars="200"/>
        <w:rPr>
          <w:rFonts w:ascii="宋体" w:hAnsi="宋体" w:cs="Arial"/>
          <w:sz w:val="24"/>
        </w:rPr>
      </w:pPr>
      <w:r>
        <w:rPr>
          <w:rFonts w:hint="eastAsia" w:ascii="宋体" w:hAnsi="宋体" w:cs="Arial"/>
          <w:sz w:val="24"/>
        </w:rPr>
        <w:t>授权代表无权转让委托权，特此委托。</w:t>
      </w:r>
    </w:p>
    <w:p w14:paraId="486061B9">
      <w:pPr>
        <w:spacing w:line="560" w:lineRule="exact"/>
        <w:ind w:firstLine="480" w:firstLineChars="200"/>
        <w:rPr>
          <w:rFonts w:ascii="宋体" w:cs="Arial"/>
          <w:sz w:val="24"/>
        </w:rPr>
      </w:pPr>
    </w:p>
    <w:tbl>
      <w:tblPr>
        <w:tblStyle w:val="15"/>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4254"/>
      </w:tblGrid>
      <w:tr w14:paraId="4720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679474A7">
            <w:pPr>
              <w:spacing w:line="560" w:lineRule="exact"/>
              <w:rPr>
                <w:rFonts w:ascii="宋体" w:cs="Arial"/>
                <w:sz w:val="24"/>
              </w:rPr>
            </w:pPr>
          </w:p>
          <w:p w14:paraId="26F1C32D">
            <w:pPr>
              <w:spacing w:line="560" w:lineRule="exact"/>
              <w:rPr>
                <w:rFonts w:ascii="宋体" w:cs="Arial"/>
                <w:sz w:val="24"/>
              </w:rPr>
            </w:pPr>
          </w:p>
          <w:p w14:paraId="3A9F9F2F">
            <w:pPr>
              <w:adjustRightInd w:val="0"/>
              <w:snapToGrid w:val="0"/>
              <w:spacing w:line="360" w:lineRule="auto"/>
              <w:ind w:right="420"/>
              <w:jc w:val="center"/>
              <w:rPr>
                <w:rFonts w:ascii="宋体" w:hAnsi="宋体"/>
                <w:szCs w:val="21"/>
              </w:rPr>
            </w:pPr>
            <w:r>
              <w:rPr>
                <w:rFonts w:hint="eastAsia" w:ascii="宋体" w:hAnsi="宋体"/>
                <w:szCs w:val="21"/>
              </w:rPr>
              <w:t>身份证正反面扫描件</w:t>
            </w:r>
          </w:p>
          <w:p w14:paraId="274E9023">
            <w:pPr>
              <w:spacing w:line="560" w:lineRule="exact"/>
              <w:rPr>
                <w:rFonts w:ascii="宋体" w:cs="Arial"/>
                <w:sz w:val="24"/>
              </w:rPr>
            </w:pPr>
          </w:p>
          <w:p w14:paraId="3BD1031B">
            <w:pPr>
              <w:spacing w:line="560" w:lineRule="exact"/>
              <w:rPr>
                <w:rFonts w:ascii="宋体" w:cs="Arial"/>
                <w:sz w:val="24"/>
              </w:rPr>
            </w:pPr>
          </w:p>
        </w:tc>
        <w:tc>
          <w:tcPr>
            <w:tcW w:w="4254" w:type="dxa"/>
          </w:tcPr>
          <w:p w14:paraId="48CD1973">
            <w:pPr>
              <w:spacing w:line="560" w:lineRule="exact"/>
              <w:rPr>
                <w:rFonts w:ascii="宋体" w:cs="Arial"/>
                <w:sz w:val="24"/>
              </w:rPr>
            </w:pPr>
          </w:p>
        </w:tc>
      </w:tr>
    </w:tbl>
    <w:p w14:paraId="430B5217">
      <w:pPr>
        <w:spacing w:line="560" w:lineRule="exact"/>
        <w:rPr>
          <w:rFonts w:ascii="宋体" w:cs="Arial"/>
          <w:sz w:val="24"/>
        </w:rPr>
      </w:pPr>
    </w:p>
    <w:p w14:paraId="07BBAEAD">
      <w:pPr>
        <w:spacing w:line="560" w:lineRule="exact"/>
        <w:rPr>
          <w:rFonts w:ascii="宋体" w:cs="Arial"/>
          <w:sz w:val="24"/>
        </w:rPr>
      </w:pPr>
    </w:p>
    <w:p w14:paraId="043E4E96">
      <w:pPr>
        <w:spacing w:line="560" w:lineRule="exact"/>
        <w:rPr>
          <w:rFonts w:ascii="宋体" w:cs="Arial"/>
          <w:sz w:val="24"/>
          <w:u w:val="single"/>
        </w:rPr>
      </w:pPr>
      <w:r>
        <w:rPr>
          <w:rFonts w:hint="eastAsia" w:ascii="宋体" w:hAnsi="宋体" w:cs="Arial"/>
          <w:sz w:val="24"/>
        </w:rPr>
        <w:t>授权代表：</w:t>
      </w:r>
      <w:r>
        <w:rPr>
          <w:rFonts w:hint="eastAsia" w:ascii="宋体" w:hAnsi="宋体" w:cs="Arial"/>
          <w:sz w:val="24"/>
          <w:u w:val="single"/>
        </w:rPr>
        <w:t>（签章）</w:t>
      </w:r>
    </w:p>
    <w:p w14:paraId="3D12CA74">
      <w:pPr>
        <w:spacing w:line="560" w:lineRule="exact"/>
        <w:rPr>
          <w:rFonts w:ascii="宋体" w:cs="Arial"/>
          <w:sz w:val="24"/>
        </w:rPr>
      </w:pPr>
      <w:r>
        <w:rPr>
          <w:rFonts w:hint="eastAsia" w:ascii="宋体" w:hAnsi="宋体" w:cs="Arial"/>
          <w:sz w:val="24"/>
        </w:rPr>
        <w:t>身份证号码：</w:t>
      </w:r>
      <w:r>
        <w:rPr>
          <w:rFonts w:hint="eastAsia" w:ascii="宋体" w:hAnsi="宋体" w:cs="Arial"/>
          <w:sz w:val="24"/>
          <w:u w:val="single"/>
        </w:rPr>
        <w:t xml:space="preserve">                        </w:t>
      </w:r>
      <w:r>
        <w:rPr>
          <w:rFonts w:hint="eastAsia" w:ascii="宋体" w:hAnsi="宋体" w:cs="Arial"/>
          <w:sz w:val="24"/>
        </w:rPr>
        <w:t xml:space="preserve">职务：           </w:t>
      </w:r>
    </w:p>
    <w:p w14:paraId="6D1DBD2B">
      <w:pPr>
        <w:spacing w:line="560" w:lineRule="exact"/>
        <w:rPr>
          <w:rFonts w:ascii="宋体" w:cs="Arial"/>
          <w:sz w:val="24"/>
        </w:rPr>
      </w:pPr>
      <w:r>
        <w:rPr>
          <w:rFonts w:hint="eastAsia" w:ascii="宋体" w:hAnsi="宋体" w:cs="Arial"/>
          <w:sz w:val="24"/>
        </w:rPr>
        <w:t>投标单位：</w:t>
      </w:r>
      <w:r>
        <w:rPr>
          <w:rFonts w:hint="eastAsia" w:ascii="宋体" w:hAnsi="宋体" w:cs="Arial"/>
          <w:sz w:val="24"/>
          <w:u w:val="single"/>
        </w:rPr>
        <w:t>（盖章）</w:t>
      </w:r>
    </w:p>
    <w:p w14:paraId="05E264C8">
      <w:pPr>
        <w:spacing w:line="560" w:lineRule="exact"/>
        <w:rPr>
          <w:rFonts w:ascii="宋体" w:cs="Arial"/>
          <w:sz w:val="24"/>
        </w:rPr>
      </w:pPr>
      <w:r>
        <w:rPr>
          <w:rFonts w:hint="eastAsia" w:ascii="宋体" w:hAnsi="宋体" w:cs="Arial"/>
          <w:sz w:val="24"/>
        </w:rPr>
        <w:t>法定代表人：</w:t>
      </w:r>
      <w:r>
        <w:rPr>
          <w:rFonts w:hint="eastAsia" w:ascii="宋体" w:hAnsi="宋体" w:cs="Arial"/>
          <w:sz w:val="24"/>
          <w:u w:val="single"/>
        </w:rPr>
        <w:t>（签字、盖章）</w:t>
      </w:r>
    </w:p>
    <w:p w14:paraId="70844EB2">
      <w:pPr>
        <w:spacing w:line="560" w:lineRule="exact"/>
        <w:rPr>
          <w:rFonts w:ascii="宋体"/>
          <w:sz w:val="24"/>
        </w:rPr>
      </w:pPr>
      <w:r>
        <w:rPr>
          <w:rFonts w:hint="eastAsia" w:ascii="宋体" w:hAnsi="宋体"/>
          <w:sz w:val="24"/>
        </w:rPr>
        <w:t>授权委托日期：    年   月   日</w:t>
      </w:r>
    </w:p>
    <w:p w14:paraId="01BA5FB5">
      <w:pPr>
        <w:spacing w:line="600" w:lineRule="exact"/>
        <w:jc w:val="left"/>
        <w:rPr>
          <w:rFonts w:ascii="宋体" w:hAnsi="Arial" w:cs="Arial"/>
          <w:sz w:val="28"/>
          <w:szCs w:val="28"/>
        </w:rPr>
      </w:pPr>
      <w:r>
        <w:rPr>
          <w:rFonts w:hint="eastAsia" w:ascii="宋体" w:hAnsi="Arial" w:cs="Arial"/>
          <w:sz w:val="28"/>
        </w:rPr>
        <w:t>③</w:t>
      </w:r>
    </w:p>
    <w:p w14:paraId="4C8F2A65">
      <w:pPr>
        <w:adjustRightInd w:val="0"/>
        <w:snapToGrid w:val="0"/>
        <w:spacing w:line="360" w:lineRule="auto"/>
        <w:jc w:val="center"/>
        <w:rPr>
          <w:rFonts w:hAnsi="宋体"/>
          <w:b/>
          <w:sz w:val="32"/>
          <w:szCs w:val="32"/>
        </w:rPr>
      </w:pPr>
      <w:r>
        <w:rPr>
          <w:rFonts w:hint="eastAsia" w:hAnsi="宋体"/>
          <w:b/>
          <w:sz w:val="32"/>
          <w:szCs w:val="32"/>
        </w:rPr>
        <w:t>投标人基本情况表</w:t>
      </w:r>
    </w:p>
    <w:tbl>
      <w:tblPr>
        <w:tblStyle w:val="14"/>
        <w:tblW w:w="90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901"/>
        <w:gridCol w:w="1074"/>
        <w:gridCol w:w="69"/>
        <w:gridCol w:w="850"/>
        <w:gridCol w:w="590"/>
        <w:gridCol w:w="294"/>
        <w:gridCol w:w="1083"/>
        <w:gridCol w:w="1329"/>
        <w:gridCol w:w="2110"/>
      </w:tblGrid>
      <w:tr w14:paraId="139CB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2"/>
            <w:tcBorders>
              <w:top w:val="double" w:color="auto" w:sz="4" w:space="0"/>
              <w:left w:val="double" w:color="auto" w:sz="4" w:space="0"/>
              <w:bottom w:val="single" w:color="auto" w:sz="6" w:space="0"/>
              <w:right w:val="single" w:color="auto" w:sz="6" w:space="0"/>
            </w:tcBorders>
            <w:vAlign w:val="center"/>
          </w:tcPr>
          <w:p w14:paraId="4359E462">
            <w:pPr>
              <w:topLinePunct/>
              <w:spacing w:line="440" w:lineRule="exact"/>
              <w:jc w:val="center"/>
              <w:rPr>
                <w:rFonts w:ascii="宋体" w:hAnsi="宋体"/>
                <w:szCs w:val="21"/>
              </w:rPr>
            </w:pPr>
            <w:r>
              <w:rPr>
                <w:rFonts w:hint="eastAsia" w:ascii="宋体" w:hAnsi="宋体"/>
                <w:szCs w:val="21"/>
              </w:rPr>
              <w:t>投标人名称</w:t>
            </w:r>
          </w:p>
        </w:tc>
        <w:tc>
          <w:tcPr>
            <w:tcW w:w="3960" w:type="dxa"/>
            <w:gridSpan w:val="6"/>
            <w:tcBorders>
              <w:top w:val="double" w:color="auto" w:sz="4" w:space="0"/>
              <w:left w:val="single" w:color="auto" w:sz="6" w:space="0"/>
              <w:bottom w:val="single" w:color="auto" w:sz="6" w:space="0"/>
              <w:right w:val="single" w:color="auto" w:sz="6" w:space="0"/>
            </w:tcBorders>
            <w:vAlign w:val="center"/>
          </w:tcPr>
          <w:p w14:paraId="5D386971">
            <w:pPr>
              <w:topLinePunct/>
              <w:spacing w:line="440" w:lineRule="exact"/>
              <w:jc w:val="center"/>
              <w:rPr>
                <w:rFonts w:ascii="宋体" w:hAnsi="宋体"/>
                <w:szCs w:val="21"/>
              </w:rPr>
            </w:pPr>
            <w:r>
              <w:rPr>
                <w:rFonts w:hint="eastAsia" w:ascii="宋体" w:hAnsi="宋体"/>
                <w:szCs w:val="21"/>
              </w:rPr>
              <w:t xml:space="preserve"> </w:t>
            </w:r>
          </w:p>
        </w:tc>
        <w:tc>
          <w:tcPr>
            <w:tcW w:w="1329" w:type="dxa"/>
            <w:tcBorders>
              <w:top w:val="double" w:color="auto" w:sz="4" w:space="0"/>
              <w:left w:val="single" w:color="auto" w:sz="6" w:space="0"/>
              <w:bottom w:val="single" w:color="auto" w:sz="6" w:space="0"/>
              <w:right w:val="single" w:color="auto" w:sz="6" w:space="0"/>
            </w:tcBorders>
            <w:vAlign w:val="center"/>
          </w:tcPr>
          <w:p w14:paraId="7986EC35">
            <w:pPr>
              <w:topLinePunct/>
              <w:spacing w:line="440" w:lineRule="exact"/>
              <w:jc w:val="center"/>
              <w:rPr>
                <w:rFonts w:ascii="宋体" w:hAnsi="宋体"/>
                <w:szCs w:val="21"/>
              </w:rPr>
            </w:pPr>
            <w:r>
              <w:rPr>
                <w:rFonts w:hint="eastAsia" w:ascii="宋体" w:hAnsi="宋体"/>
                <w:szCs w:val="21"/>
              </w:rPr>
              <w:t>法定代表人</w:t>
            </w:r>
          </w:p>
        </w:tc>
        <w:tc>
          <w:tcPr>
            <w:tcW w:w="2110" w:type="dxa"/>
            <w:tcBorders>
              <w:top w:val="double" w:color="auto" w:sz="4" w:space="0"/>
              <w:left w:val="single" w:color="auto" w:sz="6" w:space="0"/>
              <w:bottom w:val="single" w:color="auto" w:sz="6" w:space="0"/>
              <w:right w:val="double" w:color="auto" w:sz="4" w:space="0"/>
            </w:tcBorders>
            <w:vAlign w:val="center"/>
          </w:tcPr>
          <w:p w14:paraId="02DB0B0A">
            <w:pPr>
              <w:topLinePunct/>
              <w:spacing w:line="440" w:lineRule="exact"/>
              <w:jc w:val="center"/>
              <w:rPr>
                <w:rFonts w:ascii="宋体" w:hAnsi="宋体"/>
                <w:szCs w:val="21"/>
              </w:rPr>
            </w:pPr>
            <w:r>
              <w:rPr>
                <w:rFonts w:hint="eastAsia" w:ascii="宋体" w:hAnsi="宋体"/>
                <w:szCs w:val="21"/>
              </w:rPr>
              <w:t xml:space="preserve"> </w:t>
            </w:r>
          </w:p>
        </w:tc>
      </w:tr>
      <w:tr w14:paraId="575C3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2216AABA">
            <w:pPr>
              <w:topLinePunct/>
              <w:spacing w:line="440" w:lineRule="exact"/>
              <w:jc w:val="center"/>
              <w:rPr>
                <w:rFonts w:ascii="宋体" w:hAnsi="宋体"/>
                <w:szCs w:val="21"/>
              </w:rPr>
            </w:pPr>
            <w:r>
              <w:rPr>
                <w:rFonts w:hint="eastAsia" w:ascii="宋体" w:hAnsi="宋体"/>
                <w:szCs w:val="21"/>
              </w:rPr>
              <w:t>组织机构代码</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1AC92E9C">
            <w:pPr>
              <w:topLinePunct/>
              <w:spacing w:line="440" w:lineRule="exact"/>
              <w:jc w:val="center"/>
              <w:rPr>
                <w:rFonts w:ascii="宋体" w:hAnsi="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14:paraId="6D3CBD8A">
            <w:pPr>
              <w:topLinePunct/>
              <w:spacing w:line="440" w:lineRule="exact"/>
              <w:jc w:val="center"/>
              <w:rPr>
                <w:rFonts w:ascii="宋体" w:hAnsi="宋体"/>
                <w:szCs w:val="21"/>
              </w:rPr>
            </w:pPr>
            <w:r>
              <w:rPr>
                <w:rFonts w:hint="eastAsia" w:ascii="宋体" w:hAnsi="宋体"/>
                <w:szCs w:val="21"/>
              </w:rPr>
              <w:t>邮政编码</w:t>
            </w:r>
          </w:p>
        </w:tc>
        <w:tc>
          <w:tcPr>
            <w:tcW w:w="2110" w:type="dxa"/>
            <w:tcBorders>
              <w:top w:val="single" w:color="auto" w:sz="6" w:space="0"/>
              <w:left w:val="single" w:color="auto" w:sz="6" w:space="0"/>
              <w:bottom w:val="single" w:color="auto" w:sz="6" w:space="0"/>
              <w:right w:val="double" w:color="auto" w:sz="4" w:space="0"/>
            </w:tcBorders>
            <w:vAlign w:val="center"/>
          </w:tcPr>
          <w:p w14:paraId="20BA8053">
            <w:pPr>
              <w:topLinePunct/>
              <w:spacing w:line="440" w:lineRule="exact"/>
              <w:jc w:val="center"/>
              <w:rPr>
                <w:rFonts w:ascii="宋体" w:hAnsi="宋体"/>
                <w:szCs w:val="21"/>
              </w:rPr>
            </w:pPr>
            <w:r>
              <w:rPr>
                <w:rFonts w:hint="eastAsia" w:ascii="宋体" w:hAnsi="宋体"/>
                <w:szCs w:val="21"/>
              </w:rPr>
              <w:t xml:space="preserve"> </w:t>
            </w:r>
          </w:p>
        </w:tc>
      </w:tr>
      <w:tr w14:paraId="5AB3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0BDE3B56">
            <w:pPr>
              <w:topLinePunct/>
              <w:spacing w:line="440" w:lineRule="exact"/>
              <w:jc w:val="center"/>
              <w:rPr>
                <w:rFonts w:ascii="宋体" w:hAnsi="宋体"/>
                <w:szCs w:val="21"/>
              </w:rPr>
            </w:pPr>
            <w:r>
              <w:rPr>
                <w:rFonts w:hint="eastAsia" w:ascii="宋体" w:hAnsi="宋体"/>
                <w:szCs w:val="21"/>
              </w:rPr>
              <w:t>委托代理人</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4F3B2592">
            <w:pPr>
              <w:topLinePunct/>
              <w:spacing w:line="440" w:lineRule="exact"/>
              <w:jc w:val="center"/>
              <w:rPr>
                <w:rFonts w:ascii="宋体" w:hAnsi="宋体"/>
                <w:szCs w:val="21"/>
              </w:rPr>
            </w:pPr>
            <w:r>
              <w:rPr>
                <w:rFonts w:hint="eastAsia" w:ascii="宋体" w:hAnsi="宋体"/>
                <w:szCs w:val="21"/>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14:paraId="57184E07">
            <w:pPr>
              <w:topLinePunct/>
              <w:spacing w:line="440" w:lineRule="exact"/>
              <w:jc w:val="center"/>
              <w:rPr>
                <w:rFonts w:ascii="宋体" w:hAnsi="宋体"/>
                <w:szCs w:val="21"/>
              </w:rPr>
            </w:pPr>
            <w:r>
              <w:rPr>
                <w:rFonts w:hint="eastAsia" w:ascii="宋体" w:hAnsi="宋体"/>
                <w:szCs w:val="21"/>
              </w:rPr>
              <w:t>电子邮箱</w:t>
            </w:r>
          </w:p>
        </w:tc>
        <w:tc>
          <w:tcPr>
            <w:tcW w:w="2110" w:type="dxa"/>
            <w:tcBorders>
              <w:top w:val="single" w:color="auto" w:sz="6" w:space="0"/>
              <w:left w:val="single" w:color="auto" w:sz="6" w:space="0"/>
              <w:bottom w:val="single" w:color="auto" w:sz="6" w:space="0"/>
              <w:right w:val="double" w:color="auto" w:sz="4" w:space="0"/>
            </w:tcBorders>
            <w:vAlign w:val="center"/>
          </w:tcPr>
          <w:p w14:paraId="022F4035">
            <w:pPr>
              <w:topLinePunct/>
              <w:spacing w:line="440" w:lineRule="exact"/>
              <w:jc w:val="center"/>
              <w:rPr>
                <w:rFonts w:ascii="宋体" w:hAnsi="宋体"/>
                <w:szCs w:val="21"/>
              </w:rPr>
            </w:pPr>
            <w:r>
              <w:rPr>
                <w:rFonts w:hint="eastAsia" w:ascii="宋体" w:hAnsi="宋体"/>
                <w:szCs w:val="21"/>
              </w:rPr>
              <w:t xml:space="preserve"> </w:t>
            </w:r>
          </w:p>
        </w:tc>
      </w:tr>
      <w:tr w14:paraId="4842A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3CA15D94">
            <w:pPr>
              <w:topLinePunct/>
              <w:spacing w:line="440" w:lineRule="exact"/>
              <w:jc w:val="center"/>
              <w:rPr>
                <w:rFonts w:ascii="宋体" w:hAnsi="宋体"/>
                <w:szCs w:val="21"/>
              </w:rPr>
            </w:pPr>
            <w:r>
              <w:rPr>
                <w:rFonts w:hint="eastAsia" w:ascii="宋体" w:hAnsi="宋体"/>
                <w:szCs w:val="21"/>
              </w:rPr>
              <w:t>代理人电话</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5BFA289F">
            <w:pPr>
              <w:topLinePunct/>
              <w:spacing w:line="440" w:lineRule="exact"/>
              <w:jc w:val="center"/>
              <w:rPr>
                <w:rFonts w:ascii="宋体" w:hAnsi="宋体"/>
                <w:szCs w:val="21"/>
              </w:rPr>
            </w:pPr>
            <w:r>
              <w:rPr>
                <w:rFonts w:hint="eastAsia" w:ascii="宋体" w:hAnsi="宋体"/>
                <w:szCs w:val="21"/>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14:paraId="6A68B6FC">
            <w:pPr>
              <w:topLinePunct/>
              <w:spacing w:line="440" w:lineRule="exact"/>
              <w:jc w:val="center"/>
              <w:rPr>
                <w:rFonts w:ascii="宋体" w:hAnsi="宋体"/>
                <w:szCs w:val="21"/>
              </w:rPr>
            </w:pPr>
            <w:r>
              <w:rPr>
                <w:rFonts w:hint="eastAsia" w:ascii="宋体" w:hAnsi="宋体"/>
                <w:szCs w:val="21"/>
              </w:rPr>
              <w:t>员工总人数</w:t>
            </w:r>
          </w:p>
        </w:tc>
        <w:tc>
          <w:tcPr>
            <w:tcW w:w="2110" w:type="dxa"/>
            <w:tcBorders>
              <w:top w:val="single" w:color="auto" w:sz="6" w:space="0"/>
              <w:left w:val="single" w:color="auto" w:sz="6" w:space="0"/>
              <w:bottom w:val="single" w:color="auto" w:sz="6" w:space="0"/>
              <w:right w:val="double" w:color="auto" w:sz="4" w:space="0"/>
            </w:tcBorders>
            <w:vAlign w:val="center"/>
          </w:tcPr>
          <w:p w14:paraId="12593581">
            <w:pPr>
              <w:topLinePunct/>
              <w:spacing w:line="440" w:lineRule="exact"/>
              <w:jc w:val="center"/>
              <w:rPr>
                <w:rFonts w:ascii="宋体" w:hAnsi="宋体"/>
                <w:szCs w:val="21"/>
              </w:rPr>
            </w:pPr>
            <w:r>
              <w:rPr>
                <w:rFonts w:hint="eastAsia" w:ascii="宋体" w:hAnsi="宋体"/>
                <w:szCs w:val="21"/>
              </w:rPr>
              <w:t xml:space="preserve"> </w:t>
            </w:r>
          </w:p>
        </w:tc>
      </w:tr>
      <w:tr w14:paraId="15A9A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14:paraId="36354BAA">
            <w:pPr>
              <w:topLinePunct/>
              <w:spacing w:line="440" w:lineRule="exact"/>
              <w:jc w:val="center"/>
              <w:rPr>
                <w:rFonts w:ascii="宋体" w:hAnsi="宋体"/>
                <w:szCs w:val="21"/>
              </w:rPr>
            </w:pPr>
            <w:r>
              <w:rPr>
                <w:rFonts w:hint="eastAsia" w:ascii="宋体" w:hAnsi="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4D3A333C">
            <w:pPr>
              <w:topLinePunct/>
              <w:spacing w:line="440" w:lineRule="exact"/>
              <w:jc w:val="center"/>
              <w:rPr>
                <w:rFonts w:ascii="宋体" w:hAnsi="宋体"/>
                <w:szCs w:val="21"/>
              </w:rPr>
            </w:pPr>
            <w:r>
              <w:rPr>
                <w:rFonts w:hint="eastAsia" w:ascii="宋体" w:hAnsi="宋体"/>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4F0013A0">
            <w:pPr>
              <w:topLinePunct/>
              <w:spacing w:line="440" w:lineRule="exact"/>
              <w:jc w:val="center"/>
              <w:rPr>
                <w:rFonts w:ascii="宋体" w:hAnsi="宋体"/>
                <w:szCs w:val="21"/>
              </w:rPr>
            </w:pPr>
            <w:r>
              <w:rPr>
                <w:rFonts w:hint="eastAsia" w:ascii="宋体" w:hAnsi="宋体"/>
                <w:szCs w:val="21"/>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3AE29E8D">
            <w:pPr>
              <w:topLinePunct/>
              <w:spacing w:line="440" w:lineRule="exact"/>
              <w:ind w:firstLine="105" w:firstLineChars="50"/>
              <w:jc w:val="center"/>
              <w:rPr>
                <w:rFonts w:ascii="宋体" w:hAnsi="宋体"/>
                <w:szCs w:val="21"/>
              </w:rPr>
            </w:pPr>
            <w:r>
              <w:rPr>
                <w:rFonts w:hint="eastAsia" w:ascii="宋体" w:hAnsi="宋体"/>
                <w:szCs w:val="21"/>
              </w:rPr>
              <w:t>注册地址</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4C9C2CE7">
            <w:pPr>
              <w:topLinePunct/>
              <w:spacing w:line="440" w:lineRule="exact"/>
              <w:ind w:firstLine="105" w:firstLineChars="50"/>
              <w:jc w:val="center"/>
              <w:rPr>
                <w:rFonts w:ascii="宋体" w:hAnsi="宋体"/>
                <w:szCs w:val="21"/>
              </w:rPr>
            </w:pPr>
            <w:r>
              <w:rPr>
                <w:rFonts w:hint="eastAsia" w:ascii="宋体" w:hAnsi="宋体"/>
                <w:szCs w:val="21"/>
              </w:rPr>
              <w:t xml:space="preserve"> </w:t>
            </w:r>
          </w:p>
        </w:tc>
      </w:tr>
      <w:tr w14:paraId="1C0C5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393F1CE1">
            <w:pPr>
              <w:widowControl/>
              <w:jc w:val="left"/>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5731D2C9">
            <w:pPr>
              <w:topLinePunct/>
              <w:spacing w:line="440" w:lineRule="exact"/>
              <w:jc w:val="center"/>
              <w:rPr>
                <w:rFonts w:ascii="宋体" w:hAnsi="宋体"/>
                <w:szCs w:val="21"/>
              </w:rPr>
            </w:pPr>
            <w:r>
              <w:rPr>
                <w:rFonts w:hint="eastAsia" w:ascii="宋体" w:hAnsi="宋体"/>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59DCF8ED">
            <w:pPr>
              <w:topLinePunct/>
              <w:spacing w:line="440" w:lineRule="exact"/>
              <w:jc w:val="center"/>
              <w:rPr>
                <w:rFonts w:ascii="宋体" w:hAnsi="宋体"/>
                <w:szCs w:val="21"/>
              </w:rPr>
            </w:pPr>
            <w:r>
              <w:rPr>
                <w:rFonts w:hint="eastAsia" w:ascii="宋体" w:hAnsi="宋体"/>
                <w:szCs w:val="21"/>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202DB38D">
            <w:pPr>
              <w:topLinePunct/>
              <w:spacing w:line="440" w:lineRule="exact"/>
              <w:ind w:firstLine="105" w:firstLineChars="50"/>
              <w:jc w:val="center"/>
              <w:rPr>
                <w:rFonts w:ascii="宋体" w:hAnsi="宋体"/>
                <w:szCs w:val="21"/>
              </w:rPr>
            </w:pPr>
            <w:r>
              <w:rPr>
                <w:rFonts w:hint="eastAsia" w:ascii="宋体" w:hAnsi="宋体"/>
                <w:szCs w:val="21"/>
              </w:rPr>
              <w:t>发证日期</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505761AD">
            <w:pPr>
              <w:topLinePunct/>
              <w:spacing w:line="440" w:lineRule="exact"/>
              <w:ind w:firstLine="105" w:firstLineChars="50"/>
              <w:jc w:val="center"/>
              <w:rPr>
                <w:rFonts w:ascii="宋体" w:hAnsi="宋体"/>
                <w:szCs w:val="21"/>
              </w:rPr>
            </w:pPr>
            <w:r>
              <w:rPr>
                <w:rFonts w:hint="eastAsia" w:ascii="宋体" w:hAnsi="宋体"/>
                <w:szCs w:val="21"/>
              </w:rPr>
              <w:t xml:space="preserve"> </w:t>
            </w:r>
          </w:p>
        </w:tc>
      </w:tr>
      <w:tr w14:paraId="59586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72227E26">
            <w:pPr>
              <w:widowControl/>
              <w:jc w:val="left"/>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37D58148">
            <w:pPr>
              <w:topLinePunct/>
              <w:spacing w:line="440" w:lineRule="exact"/>
              <w:jc w:val="center"/>
              <w:rPr>
                <w:rFonts w:ascii="宋体" w:hAnsi="宋体"/>
                <w:szCs w:val="21"/>
              </w:rPr>
            </w:pPr>
            <w:r>
              <w:rPr>
                <w:rFonts w:hint="eastAsia" w:ascii="宋体" w:hAnsi="宋体"/>
                <w:szCs w:val="21"/>
              </w:rPr>
              <w:t>营业范围（主营）</w:t>
            </w:r>
          </w:p>
        </w:tc>
        <w:tc>
          <w:tcPr>
            <w:tcW w:w="6256" w:type="dxa"/>
            <w:gridSpan w:val="6"/>
            <w:vMerge w:val="restart"/>
            <w:tcBorders>
              <w:top w:val="single" w:color="auto" w:sz="6" w:space="0"/>
              <w:left w:val="single" w:color="auto" w:sz="6" w:space="0"/>
              <w:bottom w:val="single" w:color="auto" w:sz="6" w:space="0"/>
              <w:right w:val="double" w:color="auto" w:sz="4" w:space="0"/>
            </w:tcBorders>
            <w:vAlign w:val="center"/>
          </w:tcPr>
          <w:p w14:paraId="3A7C7104">
            <w:pPr>
              <w:topLinePunct/>
              <w:spacing w:line="440" w:lineRule="exact"/>
              <w:ind w:firstLine="105" w:firstLineChars="50"/>
              <w:jc w:val="center"/>
              <w:rPr>
                <w:rFonts w:ascii="宋体" w:hAnsi="宋体"/>
                <w:szCs w:val="21"/>
              </w:rPr>
            </w:pPr>
            <w:r>
              <w:rPr>
                <w:rFonts w:hint="eastAsia" w:ascii="宋体" w:hAnsi="宋体" w:cs="宋体"/>
                <w:kern w:val="0"/>
              </w:rPr>
              <w:t xml:space="preserve"> </w:t>
            </w:r>
          </w:p>
        </w:tc>
      </w:tr>
      <w:tr w14:paraId="26EBD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4BF7D15E">
            <w:pPr>
              <w:widowControl/>
              <w:jc w:val="left"/>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2251C63C">
            <w:pPr>
              <w:topLinePunct/>
              <w:spacing w:line="440" w:lineRule="exact"/>
              <w:jc w:val="center"/>
              <w:rPr>
                <w:rFonts w:ascii="宋体" w:hAnsi="宋体"/>
                <w:szCs w:val="21"/>
              </w:rPr>
            </w:pPr>
            <w:r>
              <w:rPr>
                <w:rFonts w:hint="eastAsia" w:ascii="宋体" w:hAnsi="宋体"/>
                <w:szCs w:val="21"/>
              </w:rPr>
              <w:t>营业范围（兼营）</w:t>
            </w:r>
          </w:p>
        </w:tc>
        <w:tc>
          <w:tcPr>
            <w:tcW w:w="6256" w:type="dxa"/>
            <w:gridSpan w:val="6"/>
            <w:vMerge w:val="continue"/>
            <w:tcBorders>
              <w:top w:val="single" w:color="auto" w:sz="6" w:space="0"/>
              <w:left w:val="single" w:color="auto" w:sz="6" w:space="0"/>
              <w:bottom w:val="single" w:color="auto" w:sz="6" w:space="0"/>
              <w:right w:val="double" w:color="auto" w:sz="4" w:space="0"/>
            </w:tcBorders>
            <w:vAlign w:val="center"/>
          </w:tcPr>
          <w:p w14:paraId="6D131A6C">
            <w:pPr>
              <w:widowControl/>
              <w:jc w:val="left"/>
              <w:rPr>
                <w:rFonts w:ascii="宋体" w:hAnsi="宋体"/>
                <w:szCs w:val="21"/>
              </w:rPr>
            </w:pPr>
          </w:p>
        </w:tc>
      </w:tr>
      <w:tr w14:paraId="6E2C1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72EA18AD">
            <w:pPr>
              <w:topLinePunct/>
              <w:spacing w:line="440" w:lineRule="exact"/>
              <w:jc w:val="center"/>
              <w:rPr>
                <w:rFonts w:ascii="宋体" w:hAnsi="宋体"/>
                <w:szCs w:val="21"/>
              </w:rPr>
            </w:pPr>
            <w:r>
              <w:rPr>
                <w:rFonts w:hint="eastAsia" w:ascii="宋体" w:hAnsi="宋体"/>
                <w:szCs w:val="21"/>
              </w:rPr>
              <w:t>基本账户开户行及帐号</w:t>
            </w:r>
          </w:p>
        </w:tc>
        <w:tc>
          <w:tcPr>
            <w:tcW w:w="6256" w:type="dxa"/>
            <w:gridSpan w:val="6"/>
            <w:tcBorders>
              <w:top w:val="single" w:color="auto" w:sz="6" w:space="0"/>
              <w:left w:val="single" w:color="auto" w:sz="6" w:space="0"/>
              <w:bottom w:val="single" w:color="auto" w:sz="6" w:space="0"/>
              <w:right w:val="double" w:color="auto" w:sz="4" w:space="0"/>
            </w:tcBorders>
            <w:vAlign w:val="center"/>
          </w:tcPr>
          <w:p w14:paraId="10B381CC">
            <w:pPr>
              <w:topLinePunct/>
              <w:spacing w:line="440" w:lineRule="exact"/>
              <w:jc w:val="center"/>
              <w:rPr>
                <w:rFonts w:ascii="宋体" w:hAnsi="宋体"/>
                <w:szCs w:val="21"/>
              </w:rPr>
            </w:pPr>
            <w:r>
              <w:rPr>
                <w:rFonts w:hint="eastAsia" w:ascii="宋体" w:hAnsi="宋体"/>
                <w:szCs w:val="21"/>
              </w:rPr>
              <w:t xml:space="preserve"> </w:t>
            </w:r>
          </w:p>
        </w:tc>
      </w:tr>
      <w:tr w14:paraId="5E75B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0A4BA52F">
            <w:pPr>
              <w:topLinePunct/>
              <w:spacing w:line="440" w:lineRule="exact"/>
              <w:jc w:val="center"/>
              <w:rPr>
                <w:rFonts w:ascii="宋体" w:hAnsi="宋体"/>
                <w:szCs w:val="21"/>
              </w:rPr>
            </w:pPr>
            <w:r>
              <w:rPr>
                <w:rFonts w:hint="eastAsia" w:ascii="宋体" w:hAnsi="宋体"/>
                <w:szCs w:val="21"/>
              </w:rPr>
              <w:t>税务登记机关</w:t>
            </w:r>
          </w:p>
        </w:tc>
        <w:tc>
          <w:tcPr>
            <w:tcW w:w="6256" w:type="dxa"/>
            <w:gridSpan w:val="6"/>
            <w:tcBorders>
              <w:top w:val="single" w:color="auto" w:sz="6" w:space="0"/>
              <w:left w:val="single" w:color="auto" w:sz="6" w:space="0"/>
              <w:bottom w:val="single" w:color="auto" w:sz="6" w:space="0"/>
              <w:right w:val="double" w:color="auto" w:sz="4" w:space="0"/>
            </w:tcBorders>
            <w:vAlign w:val="center"/>
          </w:tcPr>
          <w:p w14:paraId="6936B508">
            <w:pPr>
              <w:topLinePunct/>
              <w:spacing w:line="440" w:lineRule="exact"/>
              <w:jc w:val="center"/>
              <w:rPr>
                <w:rFonts w:ascii="宋体" w:hAnsi="宋体"/>
                <w:szCs w:val="21"/>
              </w:rPr>
            </w:pPr>
            <w:r>
              <w:rPr>
                <w:rFonts w:hint="eastAsia" w:ascii="宋体" w:hAnsi="宋体"/>
                <w:szCs w:val="21"/>
              </w:rPr>
              <w:t xml:space="preserve"> </w:t>
            </w:r>
          </w:p>
        </w:tc>
      </w:tr>
      <w:tr w14:paraId="6E634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7E75A0FB">
            <w:pPr>
              <w:topLinePunct/>
              <w:spacing w:line="440" w:lineRule="exact"/>
              <w:jc w:val="center"/>
              <w:rPr>
                <w:rFonts w:ascii="宋体" w:hAnsi="宋体"/>
                <w:szCs w:val="21"/>
              </w:rPr>
            </w:pPr>
            <w:r>
              <w:rPr>
                <w:rFonts w:hint="eastAsia" w:ascii="宋体" w:hAnsi="宋体"/>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245B17B3">
            <w:pPr>
              <w:topLinePunct/>
              <w:spacing w:line="440" w:lineRule="exact"/>
              <w:jc w:val="center"/>
              <w:rPr>
                <w:rFonts w:ascii="宋体" w:hAnsi="宋体"/>
                <w:szCs w:val="21"/>
              </w:rPr>
            </w:pPr>
            <w:r>
              <w:rPr>
                <w:rFonts w:hint="eastAsia" w:ascii="宋体" w:hAnsi="宋体"/>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14:paraId="57D740F1">
            <w:pPr>
              <w:topLinePunct/>
              <w:spacing w:line="440" w:lineRule="exact"/>
              <w:jc w:val="center"/>
              <w:rPr>
                <w:rFonts w:ascii="宋体" w:hAnsi="宋体"/>
                <w:szCs w:val="21"/>
              </w:rPr>
            </w:pPr>
            <w:r>
              <w:rPr>
                <w:rFonts w:hint="eastAsia" w:ascii="宋体" w:hAnsi="宋体"/>
                <w:szCs w:val="21"/>
              </w:rPr>
              <w:t>发证机关</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7BCE5718">
            <w:pPr>
              <w:topLinePunct/>
              <w:spacing w:line="440" w:lineRule="exact"/>
              <w:jc w:val="center"/>
              <w:rPr>
                <w:rFonts w:ascii="宋体" w:hAnsi="宋体"/>
                <w:szCs w:val="21"/>
              </w:rPr>
            </w:pPr>
            <w:r>
              <w:rPr>
                <w:rFonts w:hint="eastAsia" w:ascii="宋体" w:hAnsi="宋体"/>
                <w:szCs w:val="21"/>
              </w:rPr>
              <w:t>有效期</w:t>
            </w:r>
          </w:p>
        </w:tc>
      </w:tr>
      <w:tr w14:paraId="3A019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0B64730C">
            <w:pPr>
              <w:topLinePunct/>
              <w:spacing w:line="440" w:lineRule="exact"/>
              <w:jc w:val="center"/>
              <w:rPr>
                <w:rFonts w:ascii="宋体" w:hAnsi="宋体"/>
                <w:szCs w:val="21"/>
              </w:rPr>
            </w:pPr>
            <w:r>
              <w:rPr>
                <w:rFonts w:hint="eastAsia" w:ascii="宋体" w:hAnsi="宋体"/>
                <w:szCs w:val="21"/>
              </w:rPr>
              <w:t xml:space="preserve"> </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7BAD3DFB">
            <w:pPr>
              <w:topLinePunct/>
              <w:spacing w:line="440" w:lineRule="exact"/>
              <w:jc w:val="center"/>
              <w:rPr>
                <w:rFonts w:ascii="宋体" w:hAnsi="宋体"/>
                <w:szCs w:val="21"/>
              </w:rPr>
            </w:pPr>
            <w:r>
              <w:rPr>
                <w:rFonts w:hint="eastAsia" w:ascii="宋体" w:hAnsi="宋体"/>
                <w:szCs w:val="21"/>
              </w:rPr>
              <w:t xml:space="preserve"> </w:t>
            </w:r>
          </w:p>
        </w:tc>
        <w:tc>
          <w:tcPr>
            <w:tcW w:w="1083" w:type="dxa"/>
            <w:tcBorders>
              <w:top w:val="single" w:color="auto" w:sz="6" w:space="0"/>
              <w:left w:val="single" w:color="auto" w:sz="6" w:space="0"/>
              <w:bottom w:val="single" w:color="auto" w:sz="6" w:space="0"/>
              <w:right w:val="single" w:color="auto" w:sz="6" w:space="0"/>
            </w:tcBorders>
            <w:vAlign w:val="center"/>
          </w:tcPr>
          <w:p w14:paraId="6EC90B10">
            <w:pPr>
              <w:topLinePunct/>
              <w:spacing w:line="440" w:lineRule="exact"/>
              <w:jc w:val="center"/>
              <w:rPr>
                <w:rFonts w:ascii="宋体" w:hAnsi="宋体"/>
                <w:szCs w:val="21"/>
              </w:rPr>
            </w:pPr>
            <w:r>
              <w:rPr>
                <w:rFonts w:hint="eastAsia" w:ascii="宋体" w:hAnsi="宋体"/>
                <w:szCs w:val="21"/>
              </w:rPr>
              <w:t xml:space="preserve"> </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11237F5F">
            <w:pPr>
              <w:topLinePunct/>
              <w:spacing w:line="440" w:lineRule="exact"/>
              <w:jc w:val="center"/>
              <w:rPr>
                <w:rFonts w:ascii="宋体" w:hAnsi="宋体"/>
                <w:szCs w:val="21"/>
              </w:rPr>
            </w:pPr>
            <w:r>
              <w:rPr>
                <w:rFonts w:hint="eastAsia" w:ascii="宋体" w:hAnsi="宋体"/>
                <w:szCs w:val="21"/>
              </w:rPr>
              <w:t xml:space="preserve"> </w:t>
            </w:r>
          </w:p>
        </w:tc>
      </w:tr>
      <w:tr w14:paraId="0AFDA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4D0145A2">
            <w:pPr>
              <w:topLinePunct/>
              <w:spacing w:line="440" w:lineRule="exact"/>
              <w:jc w:val="center"/>
              <w:rPr>
                <w:rFonts w:ascii="宋体" w:hAnsi="宋体"/>
                <w:szCs w:val="21"/>
              </w:rPr>
            </w:pPr>
            <w:r>
              <w:rPr>
                <w:rFonts w:hint="eastAsia" w:ascii="宋体" w:hAnsi="宋体"/>
                <w:szCs w:val="21"/>
              </w:rPr>
              <w:t xml:space="preserve"> </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2A421B0B">
            <w:pPr>
              <w:topLinePunct/>
              <w:spacing w:line="440" w:lineRule="exact"/>
              <w:jc w:val="center"/>
              <w:rPr>
                <w:rFonts w:ascii="宋体" w:hAnsi="宋体"/>
                <w:szCs w:val="21"/>
              </w:rPr>
            </w:pPr>
            <w:r>
              <w:rPr>
                <w:rFonts w:hint="eastAsia" w:ascii="宋体" w:hAnsi="宋体"/>
                <w:szCs w:val="21"/>
              </w:rPr>
              <w:t xml:space="preserve"> </w:t>
            </w:r>
          </w:p>
        </w:tc>
        <w:tc>
          <w:tcPr>
            <w:tcW w:w="1083" w:type="dxa"/>
            <w:tcBorders>
              <w:top w:val="single" w:color="auto" w:sz="6" w:space="0"/>
              <w:left w:val="single" w:color="auto" w:sz="6" w:space="0"/>
              <w:bottom w:val="single" w:color="auto" w:sz="6" w:space="0"/>
              <w:right w:val="single" w:color="auto" w:sz="6" w:space="0"/>
            </w:tcBorders>
            <w:vAlign w:val="center"/>
          </w:tcPr>
          <w:p w14:paraId="6D7E1302">
            <w:pPr>
              <w:topLinePunct/>
              <w:spacing w:line="440" w:lineRule="exact"/>
              <w:jc w:val="center"/>
              <w:rPr>
                <w:rFonts w:ascii="宋体" w:hAnsi="宋体"/>
                <w:szCs w:val="21"/>
              </w:rPr>
            </w:pPr>
            <w:r>
              <w:rPr>
                <w:rFonts w:hint="eastAsia" w:ascii="宋体" w:hAnsi="宋体"/>
                <w:szCs w:val="21"/>
              </w:rPr>
              <w:t xml:space="preserve"> </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6A787E47">
            <w:pPr>
              <w:topLinePunct/>
              <w:spacing w:line="440" w:lineRule="exact"/>
              <w:jc w:val="center"/>
              <w:rPr>
                <w:rFonts w:ascii="宋体" w:hAnsi="宋体"/>
                <w:szCs w:val="21"/>
              </w:rPr>
            </w:pPr>
            <w:r>
              <w:rPr>
                <w:rFonts w:hint="eastAsia" w:ascii="宋体" w:hAnsi="宋体"/>
                <w:szCs w:val="21"/>
              </w:rPr>
              <w:t xml:space="preserve"> </w:t>
            </w:r>
          </w:p>
        </w:tc>
      </w:tr>
      <w:tr w14:paraId="5395A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127F8A8B">
            <w:pPr>
              <w:topLinePunct/>
              <w:spacing w:line="440" w:lineRule="exact"/>
              <w:jc w:val="cente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4591CD85">
            <w:pPr>
              <w:topLinePunct/>
              <w:spacing w:line="440" w:lineRule="exact"/>
              <w:jc w:val="cente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14:paraId="27D1D400">
            <w:pPr>
              <w:topLinePunct/>
              <w:spacing w:line="440" w:lineRule="exact"/>
              <w:jc w:val="center"/>
              <w:rPr>
                <w:rFonts w:ascii="宋体" w:hAnsi="宋体"/>
                <w:szCs w:val="21"/>
              </w:rPr>
            </w:pP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2802ECE4">
            <w:pPr>
              <w:topLinePunct/>
              <w:spacing w:line="440" w:lineRule="exact"/>
              <w:jc w:val="center"/>
              <w:rPr>
                <w:rFonts w:ascii="宋体" w:hAnsi="宋体"/>
                <w:szCs w:val="21"/>
              </w:rPr>
            </w:pPr>
          </w:p>
        </w:tc>
      </w:tr>
      <w:tr w14:paraId="02803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5" w:hRule="atLeast"/>
        </w:trPr>
        <w:tc>
          <w:tcPr>
            <w:tcW w:w="2694" w:type="dxa"/>
            <w:gridSpan w:val="3"/>
            <w:tcBorders>
              <w:top w:val="single" w:color="auto" w:sz="6" w:space="0"/>
              <w:left w:val="double" w:color="auto" w:sz="4" w:space="0"/>
              <w:bottom w:val="single" w:color="auto" w:sz="6" w:space="0"/>
              <w:right w:val="single" w:color="auto" w:sz="4" w:space="0"/>
            </w:tcBorders>
            <w:vAlign w:val="center"/>
          </w:tcPr>
          <w:p w14:paraId="295FBFB3">
            <w:pPr>
              <w:topLinePunct/>
              <w:spacing w:line="440" w:lineRule="exact"/>
              <w:jc w:val="center"/>
              <w:rPr>
                <w:rFonts w:ascii="宋体" w:hAnsi="宋体"/>
                <w:szCs w:val="21"/>
              </w:rPr>
            </w:pPr>
            <w:r>
              <w:rPr>
                <w:rFonts w:hint="eastAsia" w:ascii="宋体" w:hAnsi="宋体"/>
                <w:szCs w:val="21"/>
              </w:rPr>
              <w:t>备注</w:t>
            </w:r>
          </w:p>
        </w:tc>
        <w:tc>
          <w:tcPr>
            <w:tcW w:w="6325" w:type="dxa"/>
            <w:gridSpan w:val="7"/>
            <w:tcBorders>
              <w:top w:val="single" w:color="auto" w:sz="6" w:space="0"/>
              <w:left w:val="single" w:color="auto" w:sz="4" w:space="0"/>
              <w:bottom w:val="single" w:color="auto" w:sz="6" w:space="0"/>
              <w:right w:val="double" w:color="auto" w:sz="4" w:space="0"/>
            </w:tcBorders>
            <w:vAlign w:val="center"/>
          </w:tcPr>
          <w:p w14:paraId="45F68426">
            <w:pPr>
              <w:topLinePunct/>
              <w:spacing w:line="440" w:lineRule="exact"/>
              <w:jc w:val="center"/>
              <w:rPr>
                <w:rFonts w:ascii="宋体" w:hAnsi="宋体"/>
                <w:szCs w:val="21"/>
              </w:rPr>
            </w:pPr>
          </w:p>
        </w:tc>
      </w:tr>
    </w:tbl>
    <w:p w14:paraId="2DD78A2B">
      <w:pPr>
        <w:spacing w:line="600" w:lineRule="exact"/>
        <w:jc w:val="left"/>
        <w:rPr>
          <w:rFonts w:ascii="宋体" w:hAnsi="Arial" w:cs="Arial"/>
          <w:sz w:val="28"/>
          <w:szCs w:val="28"/>
        </w:rPr>
      </w:pPr>
    </w:p>
    <w:p w14:paraId="6794C037">
      <w:pPr>
        <w:spacing w:line="600" w:lineRule="exact"/>
        <w:jc w:val="left"/>
        <w:rPr>
          <w:rFonts w:ascii="宋体" w:hAnsi="Arial" w:cs="Arial"/>
          <w:sz w:val="28"/>
          <w:szCs w:val="28"/>
        </w:rPr>
      </w:pPr>
    </w:p>
    <w:p w14:paraId="2AE18A5A">
      <w:pPr>
        <w:spacing w:line="600" w:lineRule="exact"/>
        <w:jc w:val="left"/>
        <w:rPr>
          <w:rFonts w:ascii="宋体" w:hAnsi="Arial" w:cs="Arial"/>
          <w:sz w:val="28"/>
          <w:szCs w:val="28"/>
        </w:rPr>
      </w:pPr>
    </w:p>
    <w:p w14:paraId="4A783BA3">
      <w:pPr>
        <w:spacing w:line="600" w:lineRule="exact"/>
        <w:jc w:val="left"/>
        <w:rPr>
          <w:rFonts w:ascii="宋体" w:hAnsi="Arial" w:cs="Arial"/>
          <w:sz w:val="28"/>
          <w:szCs w:val="28"/>
        </w:rPr>
      </w:pPr>
      <w:r>
        <w:rPr>
          <w:rFonts w:hint="eastAsia" w:ascii="宋体" w:hAnsi="Arial" w:cs="Arial"/>
          <w:sz w:val="28"/>
          <w:szCs w:val="28"/>
        </w:rPr>
        <w:t>④</w:t>
      </w:r>
    </w:p>
    <w:p w14:paraId="0D016C48">
      <w:pPr>
        <w:spacing w:line="600" w:lineRule="exact"/>
        <w:jc w:val="center"/>
        <w:rPr>
          <w:rFonts w:ascii="Microsoft JhengHei" w:eastAsiaTheme="minorEastAsia"/>
          <w:b/>
          <w:sz w:val="32"/>
        </w:rPr>
      </w:pPr>
      <w:r>
        <w:rPr>
          <w:rFonts w:hint="eastAsia" w:ascii="Microsoft JhengHei" w:eastAsiaTheme="minorEastAsia"/>
          <w:b/>
          <w:sz w:val="32"/>
        </w:rPr>
        <w:t>单位信用证明</w:t>
      </w:r>
    </w:p>
    <w:p w14:paraId="6CB76AFC">
      <w:pPr>
        <w:pStyle w:val="7"/>
      </w:pPr>
    </w:p>
    <w:p w14:paraId="6BA74D29">
      <w:pPr>
        <w:pStyle w:val="7"/>
        <w:spacing w:line="400" w:lineRule="exact"/>
      </w:pPr>
      <w:r>
        <w:t>备注：投标人应提</w:t>
      </w:r>
      <w:r>
        <w:rPr>
          <w:rFonts w:hint="eastAsia"/>
        </w:rPr>
        <w:t>供“</w:t>
      </w:r>
      <w:r>
        <w:t>近三年内无司法、行政机关</w:t>
      </w:r>
      <w:r>
        <w:rPr>
          <w:rFonts w:hint="eastAsia"/>
        </w:rPr>
        <w:t>生</w:t>
      </w:r>
      <w:r>
        <w:t>效判决和决定中确认的违反法律法规的情形</w:t>
      </w:r>
      <w:r>
        <w:rPr>
          <w:rFonts w:hint="eastAsia"/>
        </w:rPr>
        <w:t>”证明材料，包含：</w:t>
      </w:r>
    </w:p>
    <w:p w14:paraId="0E2D8DF5">
      <w:pPr>
        <w:pStyle w:val="7"/>
        <w:spacing w:line="400" w:lineRule="exact"/>
      </w:pPr>
      <w:r>
        <w:rPr>
          <w:rFonts w:hint="eastAsia"/>
        </w:rPr>
        <w:t>1承诺书并加盖公章；</w:t>
      </w:r>
    </w:p>
    <w:p w14:paraId="21E39AC6">
      <w:pPr>
        <w:pStyle w:val="7"/>
        <w:spacing w:line="400" w:lineRule="exact"/>
      </w:pPr>
      <w:r>
        <w:rPr>
          <w:rFonts w:hint="eastAsia"/>
        </w:rPr>
        <w:t>2.信用中国网站</w:t>
      </w:r>
      <w:r>
        <w:fldChar w:fldCharType="begin"/>
      </w:r>
      <w:r>
        <w:instrText xml:space="preserve"> HYPERLINK "https://www.creditchina.gov.cn/" </w:instrText>
      </w:r>
      <w:r>
        <w:fldChar w:fldCharType="separate"/>
      </w:r>
      <w:r>
        <w:rPr>
          <w:rStyle w:val="18"/>
        </w:rPr>
        <w:t>https://www.creditchina.gov.cn/</w:t>
      </w:r>
      <w:r>
        <w:rPr>
          <w:rStyle w:val="18"/>
        </w:rPr>
        <w:fldChar w:fldCharType="end"/>
      </w:r>
      <w:r>
        <w:rPr>
          <w:rFonts w:hint="eastAsia"/>
        </w:rPr>
        <w:t>内本单位信用信息内的失信被执行人、重大税收违法案件当事人名单的查询截图。示意如下：</w:t>
      </w:r>
    </w:p>
    <w:p w14:paraId="73127D01">
      <w:pPr>
        <w:pStyle w:val="7"/>
      </w:pPr>
    </w:p>
    <w:p w14:paraId="20742FC2">
      <w:pPr>
        <w:pStyle w:val="7"/>
      </w:pPr>
    </w:p>
    <w:p w14:paraId="6167ABC9">
      <w:pPr>
        <w:pStyle w:val="7"/>
      </w:pPr>
      <w:r>
        <w:rPr>
          <w:lang w:val="en-US" w:bidi="ar-SA"/>
        </w:rPr>
        <w:drawing>
          <wp:inline distT="0" distB="0" distL="0" distR="0">
            <wp:extent cx="5832475" cy="42945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5688" cy="4297062"/>
                    </a:xfrm>
                    <a:prstGeom prst="rect">
                      <a:avLst/>
                    </a:prstGeom>
                  </pic:spPr>
                </pic:pic>
              </a:graphicData>
            </a:graphic>
          </wp:inline>
        </w:drawing>
      </w:r>
    </w:p>
    <w:p w14:paraId="62A9DB8D">
      <w:pPr>
        <w:pStyle w:val="7"/>
      </w:pPr>
    </w:p>
    <w:p w14:paraId="05EFD8EC">
      <w:pPr>
        <w:pStyle w:val="7"/>
      </w:pPr>
    </w:p>
    <w:p w14:paraId="09E37076">
      <w:pPr>
        <w:pStyle w:val="7"/>
      </w:pPr>
    </w:p>
    <w:p w14:paraId="485E718F">
      <w:pPr>
        <w:pStyle w:val="7"/>
      </w:pPr>
    </w:p>
    <w:p w14:paraId="4AC75AE8">
      <w:pPr>
        <w:pStyle w:val="7"/>
      </w:pPr>
    </w:p>
    <w:p w14:paraId="5DCE4A71">
      <w:pPr>
        <w:pStyle w:val="7"/>
      </w:pPr>
    </w:p>
    <w:p w14:paraId="5C3406B8">
      <w:pPr>
        <w:pStyle w:val="7"/>
      </w:pPr>
    </w:p>
    <w:p w14:paraId="2FE28728">
      <w:pPr>
        <w:pStyle w:val="7"/>
      </w:pPr>
    </w:p>
    <w:p w14:paraId="0818AC1E">
      <w:pPr>
        <w:pStyle w:val="7"/>
      </w:pPr>
    </w:p>
    <w:p w14:paraId="77593BC6">
      <w:pPr>
        <w:pStyle w:val="7"/>
      </w:pPr>
    </w:p>
    <w:p w14:paraId="5C3BDB62">
      <w:pPr>
        <w:spacing w:line="600" w:lineRule="exact"/>
        <w:jc w:val="left"/>
        <w:rPr>
          <w:rFonts w:ascii="宋体" w:hAnsi="Arial" w:cs="Arial"/>
          <w:sz w:val="28"/>
          <w:szCs w:val="28"/>
        </w:rPr>
      </w:pPr>
    </w:p>
    <w:p w14:paraId="44F8BD20">
      <w:pPr>
        <w:spacing w:line="600" w:lineRule="exact"/>
        <w:jc w:val="center"/>
        <w:rPr>
          <w:rFonts w:ascii="Microsoft JhengHei" w:eastAsiaTheme="minorEastAsia"/>
          <w:b/>
          <w:sz w:val="44"/>
          <w:szCs w:val="44"/>
        </w:rPr>
      </w:pPr>
      <w:r>
        <w:rPr>
          <w:rFonts w:hint="eastAsia" w:ascii="Microsoft JhengHei" w:eastAsiaTheme="minorEastAsia"/>
          <w:b/>
          <w:sz w:val="44"/>
          <w:szCs w:val="44"/>
        </w:rPr>
        <w:t>四、类似业绩</w:t>
      </w:r>
    </w:p>
    <w:p w14:paraId="6968684F">
      <w:pPr>
        <w:spacing w:line="600" w:lineRule="exact"/>
        <w:jc w:val="center"/>
        <w:rPr>
          <w:rFonts w:ascii="Microsoft JhengHei" w:eastAsiaTheme="minorEastAsia"/>
          <w:b/>
          <w:sz w:val="44"/>
          <w:szCs w:val="44"/>
        </w:rPr>
      </w:pPr>
    </w:p>
    <w:p w14:paraId="7DAD9BC0">
      <w:pPr>
        <w:spacing w:before="38"/>
        <w:ind w:left="2973"/>
        <w:rPr>
          <w:rFonts w:hAnsi="宋体"/>
          <w:b/>
          <w:sz w:val="30"/>
          <w:szCs w:val="30"/>
        </w:rPr>
      </w:pPr>
      <w:r>
        <w:rPr>
          <w:rFonts w:hAnsi="宋体"/>
          <w:b/>
          <w:sz w:val="30"/>
          <w:szCs w:val="30"/>
        </w:rPr>
        <w:t>近年完成的类似项目情况表</w:t>
      </w:r>
    </w:p>
    <w:p w14:paraId="4F1B2BD2">
      <w:pPr>
        <w:pStyle w:val="7"/>
        <w:spacing w:before="12"/>
        <w:ind w:left="5250"/>
        <w:rPr>
          <w:sz w:val="14"/>
        </w:rPr>
      </w:pPr>
    </w:p>
    <w:tbl>
      <w:tblPr>
        <w:tblStyle w:val="14"/>
        <w:tblW w:w="8968" w:type="dxa"/>
        <w:tblInd w:w="24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161"/>
        <w:gridCol w:w="6807"/>
      </w:tblGrid>
      <w:tr w14:paraId="297B367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2161" w:type="dxa"/>
            <w:tcBorders>
              <w:bottom w:val="single" w:color="000000" w:sz="6" w:space="0"/>
              <w:right w:val="single" w:color="000000" w:sz="6" w:space="0"/>
            </w:tcBorders>
          </w:tcPr>
          <w:p w14:paraId="2B40370A">
            <w:pPr>
              <w:pStyle w:val="24"/>
              <w:rPr>
                <w:sz w:val="20"/>
              </w:rPr>
            </w:pPr>
          </w:p>
          <w:p w14:paraId="128D5818">
            <w:pPr>
              <w:pStyle w:val="24"/>
              <w:ind w:left="525" w:right="523"/>
              <w:jc w:val="center"/>
              <w:rPr>
                <w:sz w:val="21"/>
              </w:rPr>
            </w:pPr>
            <w:r>
              <w:rPr>
                <w:sz w:val="21"/>
              </w:rPr>
              <w:t>项目名称</w:t>
            </w:r>
          </w:p>
        </w:tc>
        <w:tc>
          <w:tcPr>
            <w:tcW w:w="6807" w:type="dxa"/>
            <w:tcBorders>
              <w:left w:val="single" w:color="000000" w:sz="6" w:space="0"/>
              <w:bottom w:val="single" w:color="000000" w:sz="6" w:space="0"/>
            </w:tcBorders>
          </w:tcPr>
          <w:p w14:paraId="4B6E2D54">
            <w:pPr>
              <w:pStyle w:val="24"/>
              <w:rPr>
                <w:rFonts w:ascii="Times New Roman"/>
                <w:sz w:val="20"/>
              </w:rPr>
            </w:pPr>
          </w:p>
        </w:tc>
      </w:tr>
      <w:tr w14:paraId="2887A61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06" w:hRule="atLeast"/>
        </w:trPr>
        <w:tc>
          <w:tcPr>
            <w:tcW w:w="2161" w:type="dxa"/>
            <w:tcBorders>
              <w:top w:val="single" w:color="000000" w:sz="6" w:space="0"/>
              <w:bottom w:val="single" w:color="000000" w:sz="6" w:space="0"/>
              <w:right w:val="single" w:color="000000" w:sz="6" w:space="0"/>
            </w:tcBorders>
          </w:tcPr>
          <w:p w14:paraId="2F4174D4">
            <w:pPr>
              <w:pStyle w:val="24"/>
              <w:spacing w:before="7"/>
              <w:rPr>
                <w:sz w:val="17"/>
              </w:rPr>
            </w:pPr>
          </w:p>
          <w:p w14:paraId="0EB950F7">
            <w:pPr>
              <w:pStyle w:val="24"/>
              <w:ind w:left="525" w:right="523"/>
              <w:jc w:val="center"/>
              <w:rPr>
                <w:sz w:val="21"/>
              </w:rPr>
            </w:pPr>
            <w:r>
              <w:rPr>
                <w:sz w:val="21"/>
              </w:rPr>
              <w:t>项目所在地</w:t>
            </w:r>
          </w:p>
        </w:tc>
        <w:tc>
          <w:tcPr>
            <w:tcW w:w="6807" w:type="dxa"/>
            <w:tcBorders>
              <w:top w:val="single" w:color="000000" w:sz="6" w:space="0"/>
              <w:left w:val="single" w:color="000000" w:sz="6" w:space="0"/>
              <w:bottom w:val="single" w:color="000000" w:sz="6" w:space="0"/>
            </w:tcBorders>
          </w:tcPr>
          <w:p w14:paraId="4DD12F7B">
            <w:pPr>
              <w:pStyle w:val="24"/>
              <w:rPr>
                <w:rFonts w:ascii="Times New Roman"/>
                <w:sz w:val="20"/>
              </w:rPr>
            </w:pPr>
          </w:p>
        </w:tc>
      </w:tr>
      <w:tr w14:paraId="2D3578D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trPr>
        <w:tc>
          <w:tcPr>
            <w:tcW w:w="2161" w:type="dxa"/>
            <w:tcBorders>
              <w:top w:val="single" w:color="000000" w:sz="6" w:space="0"/>
              <w:bottom w:val="single" w:color="000000" w:sz="6" w:space="0"/>
              <w:right w:val="single" w:color="000000" w:sz="6" w:space="0"/>
            </w:tcBorders>
          </w:tcPr>
          <w:p w14:paraId="2B609821">
            <w:pPr>
              <w:pStyle w:val="24"/>
              <w:spacing w:before="11"/>
              <w:rPr>
                <w:sz w:val="17"/>
              </w:rPr>
            </w:pPr>
          </w:p>
          <w:p w14:paraId="68F962E1">
            <w:pPr>
              <w:pStyle w:val="24"/>
              <w:ind w:left="525" w:right="523"/>
              <w:jc w:val="center"/>
              <w:rPr>
                <w:sz w:val="21"/>
              </w:rPr>
            </w:pPr>
            <w:r>
              <w:rPr>
                <w:sz w:val="21"/>
              </w:rPr>
              <w:t>委托人名称</w:t>
            </w:r>
          </w:p>
        </w:tc>
        <w:tc>
          <w:tcPr>
            <w:tcW w:w="6807" w:type="dxa"/>
            <w:tcBorders>
              <w:top w:val="single" w:color="000000" w:sz="6" w:space="0"/>
              <w:left w:val="single" w:color="000000" w:sz="6" w:space="0"/>
              <w:bottom w:val="single" w:color="000000" w:sz="6" w:space="0"/>
            </w:tcBorders>
          </w:tcPr>
          <w:p w14:paraId="51891F52">
            <w:pPr>
              <w:pStyle w:val="24"/>
              <w:rPr>
                <w:rFonts w:ascii="Times New Roman"/>
                <w:sz w:val="20"/>
              </w:rPr>
            </w:pPr>
          </w:p>
        </w:tc>
      </w:tr>
      <w:tr w14:paraId="27CB832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07" w:hRule="atLeast"/>
        </w:trPr>
        <w:tc>
          <w:tcPr>
            <w:tcW w:w="2161" w:type="dxa"/>
            <w:tcBorders>
              <w:top w:val="single" w:color="000000" w:sz="6" w:space="0"/>
              <w:bottom w:val="single" w:color="000000" w:sz="6" w:space="0"/>
              <w:right w:val="single" w:color="000000" w:sz="6" w:space="0"/>
            </w:tcBorders>
          </w:tcPr>
          <w:p w14:paraId="0C703B45">
            <w:pPr>
              <w:pStyle w:val="24"/>
              <w:spacing w:before="8"/>
              <w:rPr>
                <w:sz w:val="17"/>
              </w:rPr>
            </w:pPr>
          </w:p>
          <w:p w14:paraId="7A862392">
            <w:pPr>
              <w:pStyle w:val="24"/>
              <w:ind w:left="525" w:right="523"/>
              <w:jc w:val="center"/>
              <w:rPr>
                <w:sz w:val="21"/>
              </w:rPr>
            </w:pPr>
            <w:r>
              <w:rPr>
                <w:sz w:val="21"/>
              </w:rPr>
              <w:t>委托人地址</w:t>
            </w:r>
          </w:p>
        </w:tc>
        <w:tc>
          <w:tcPr>
            <w:tcW w:w="6807" w:type="dxa"/>
            <w:tcBorders>
              <w:top w:val="single" w:color="000000" w:sz="6" w:space="0"/>
              <w:left w:val="single" w:color="000000" w:sz="6" w:space="0"/>
              <w:bottom w:val="single" w:color="000000" w:sz="6" w:space="0"/>
            </w:tcBorders>
          </w:tcPr>
          <w:p w14:paraId="3F16FF7C">
            <w:pPr>
              <w:pStyle w:val="24"/>
              <w:rPr>
                <w:rFonts w:ascii="Times New Roman"/>
                <w:sz w:val="20"/>
              </w:rPr>
            </w:pPr>
          </w:p>
        </w:tc>
      </w:tr>
      <w:tr w14:paraId="1A59095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6" w:hRule="atLeast"/>
        </w:trPr>
        <w:tc>
          <w:tcPr>
            <w:tcW w:w="2161" w:type="dxa"/>
            <w:tcBorders>
              <w:top w:val="single" w:color="000000" w:sz="6" w:space="0"/>
              <w:bottom w:val="single" w:color="000000" w:sz="6" w:space="0"/>
              <w:right w:val="single" w:color="000000" w:sz="6" w:space="0"/>
            </w:tcBorders>
          </w:tcPr>
          <w:p w14:paraId="51B7263E">
            <w:pPr>
              <w:pStyle w:val="24"/>
              <w:spacing w:before="12"/>
              <w:rPr>
                <w:sz w:val="17"/>
              </w:rPr>
            </w:pPr>
          </w:p>
          <w:p w14:paraId="669CE953">
            <w:pPr>
              <w:pStyle w:val="24"/>
              <w:ind w:left="525" w:right="523"/>
              <w:jc w:val="center"/>
              <w:rPr>
                <w:sz w:val="21"/>
              </w:rPr>
            </w:pPr>
            <w:r>
              <w:rPr>
                <w:sz w:val="21"/>
              </w:rPr>
              <w:t>委托人电话</w:t>
            </w:r>
          </w:p>
        </w:tc>
        <w:tc>
          <w:tcPr>
            <w:tcW w:w="6807" w:type="dxa"/>
            <w:tcBorders>
              <w:top w:val="single" w:color="000000" w:sz="6" w:space="0"/>
              <w:left w:val="single" w:color="000000" w:sz="6" w:space="0"/>
              <w:bottom w:val="single" w:color="000000" w:sz="6" w:space="0"/>
            </w:tcBorders>
          </w:tcPr>
          <w:p w14:paraId="18B38A66">
            <w:pPr>
              <w:pStyle w:val="24"/>
              <w:rPr>
                <w:rFonts w:ascii="Times New Roman"/>
                <w:sz w:val="20"/>
              </w:rPr>
            </w:pPr>
          </w:p>
        </w:tc>
      </w:tr>
      <w:tr w14:paraId="5208878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0" w:hRule="atLeast"/>
        </w:trPr>
        <w:tc>
          <w:tcPr>
            <w:tcW w:w="2161" w:type="dxa"/>
            <w:tcBorders>
              <w:top w:val="single" w:color="000000" w:sz="6" w:space="0"/>
              <w:bottom w:val="single" w:color="000000" w:sz="6" w:space="0"/>
              <w:right w:val="single" w:color="000000" w:sz="6" w:space="0"/>
            </w:tcBorders>
          </w:tcPr>
          <w:p w14:paraId="7621F0F8">
            <w:pPr>
              <w:pStyle w:val="24"/>
              <w:spacing w:before="9"/>
              <w:rPr>
                <w:sz w:val="17"/>
              </w:rPr>
            </w:pPr>
          </w:p>
          <w:p w14:paraId="6061EFAF">
            <w:pPr>
              <w:pStyle w:val="24"/>
              <w:ind w:left="525" w:right="523"/>
              <w:jc w:val="center"/>
              <w:rPr>
                <w:sz w:val="21"/>
              </w:rPr>
            </w:pPr>
            <w:r>
              <w:rPr>
                <w:sz w:val="21"/>
              </w:rPr>
              <w:t>合同价格</w:t>
            </w:r>
          </w:p>
        </w:tc>
        <w:tc>
          <w:tcPr>
            <w:tcW w:w="6807" w:type="dxa"/>
            <w:tcBorders>
              <w:top w:val="single" w:color="000000" w:sz="6" w:space="0"/>
              <w:left w:val="single" w:color="000000" w:sz="6" w:space="0"/>
              <w:bottom w:val="single" w:color="000000" w:sz="6" w:space="0"/>
            </w:tcBorders>
          </w:tcPr>
          <w:p w14:paraId="7ADA5FF1">
            <w:pPr>
              <w:pStyle w:val="24"/>
              <w:rPr>
                <w:rFonts w:ascii="Times New Roman"/>
                <w:sz w:val="20"/>
              </w:rPr>
            </w:pPr>
          </w:p>
        </w:tc>
      </w:tr>
      <w:tr w14:paraId="6488A8A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0" w:hRule="atLeast"/>
        </w:trPr>
        <w:tc>
          <w:tcPr>
            <w:tcW w:w="2161" w:type="dxa"/>
            <w:tcBorders>
              <w:top w:val="single" w:color="000000" w:sz="6" w:space="0"/>
              <w:bottom w:val="single" w:color="000000" w:sz="6" w:space="0"/>
              <w:right w:val="single" w:color="000000" w:sz="6" w:space="0"/>
            </w:tcBorders>
          </w:tcPr>
          <w:p w14:paraId="652DF97F">
            <w:pPr>
              <w:pStyle w:val="24"/>
              <w:spacing w:line="440" w:lineRule="exact"/>
              <w:ind w:left="440" w:right="437" w:firstLine="210"/>
              <w:rPr>
                <w:sz w:val="21"/>
              </w:rPr>
            </w:pPr>
            <w:r>
              <w:rPr>
                <w:sz w:val="21"/>
              </w:rPr>
              <w:t xml:space="preserve">合同期或 </w:t>
            </w:r>
            <w:r>
              <w:rPr>
                <w:spacing w:val="-4"/>
                <w:sz w:val="21"/>
              </w:rPr>
              <w:t>项目完成时间</w:t>
            </w:r>
          </w:p>
        </w:tc>
        <w:tc>
          <w:tcPr>
            <w:tcW w:w="6807" w:type="dxa"/>
            <w:tcBorders>
              <w:top w:val="single" w:color="000000" w:sz="6" w:space="0"/>
              <w:left w:val="single" w:color="000000" w:sz="6" w:space="0"/>
              <w:bottom w:val="single" w:color="000000" w:sz="6" w:space="0"/>
            </w:tcBorders>
          </w:tcPr>
          <w:p w14:paraId="514C18A4">
            <w:pPr>
              <w:pStyle w:val="24"/>
              <w:rPr>
                <w:rFonts w:ascii="Times New Roman"/>
                <w:sz w:val="20"/>
              </w:rPr>
            </w:pPr>
          </w:p>
        </w:tc>
      </w:tr>
      <w:tr w14:paraId="4A61E6D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6" w:hRule="atLeast"/>
        </w:trPr>
        <w:tc>
          <w:tcPr>
            <w:tcW w:w="2161" w:type="dxa"/>
            <w:tcBorders>
              <w:top w:val="single" w:color="000000" w:sz="6" w:space="0"/>
              <w:bottom w:val="single" w:color="000000" w:sz="6" w:space="0"/>
              <w:right w:val="single" w:color="000000" w:sz="6" w:space="0"/>
            </w:tcBorders>
          </w:tcPr>
          <w:p w14:paraId="45C882D4">
            <w:pPr>
              <w:pStyle w:val="24"/>
              <w:spacing w:before="12"/>
              <w:rPr>
                <w:sz w:val="17"/>
              </w:rPr>
            </w:pPr>
          </w:p>
          <w:p w14:paraId="2E57202D">
            <w:pPr>
              <w:pStyle w:val="24"/>
              <w:ind w:left="525" w:right="523"/>
              <w:jc w:val="center"/>
              <w:rPr>
                <w:sz w:val="21"/>
              </w:rPr>
            </w:pPr>
            <w:r>
              <w:rPr>
                <w:sz w:val="21"/>
              </w:rPr>
              <w:t>项目负责人</w:t>
            </w:r>
          </w:p>
        </w:tc>
        <w:tc>
          <w:tcPr>
            <w:tcW w:w="6807" w:type="dxa"/>
            <w:tcBorders>
              <w:top w:val="single" w:color="000000" w:sz="6" w:space="0"/>
              <w:left w:val="single" w:color="000000" w:sz="6" w:space="0"/>
              <w:bottom w:val="single" w:color="000000" w:sz="6" w:space="0"/>
            </w:tcBorders>
          </w:tcPr>
          <w:p w14:paraId="5A28E24C">
            <w:pPr>
              <w:pStyle w:val="24"/>
              <w:rPr>
                <w:rFonts w:ascii="Times New Roman"/>
                <w:sz w:val="20"/>
              </w:rPr>
            </w:pPr>
          </w:p>
        </w:tc>
      </w:tr>
      <w:tr w14:paraId="3ED352A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080" w:hRule="atLeast"/>
        </w:trPr>
        <w:tc>
          <w:tcPr>
            <w:tcW w:w="2161" w:type="dxa"/>
            <w:tcBorders>
              <w:top w:val="single" w:color="000000" w:sz="6" w:space="0"/>
              <w:bottom w:val="single" w:color="000000" w:sz="6" w:space="0"/>
              <w:right w:val="single" w:color="000000" w:sz="6" w:space="0"/>
            </w:tcBorders>
          </w:tcPr>
          <w:p w14:paraId="044ED214">
            <w:pPr>
              <w:pStyle w:val="24"/>
              <w:rPr>
                <w:sz w:val="20"/>
              </w:rPr>
            </w:pPr>
          </w:p>
          <w:p w14:paraId="7E12ED60">
            <w:pPr>
              <w:pStyle w:val="24"/>
              <w:rPr>
                <w:sz w:val="20"/>
              </w:rPr>
            </w:pPr>
          </w:p>
          <w:p w14:paraId="5C41928F">
            <w:pPr>
              <w:pStyle w:val="24"/>
              <w:rPr>
                <w:sz w:val="20"/>
              </w:rPr>
            </w:pPr>
          </w:p>
          <w:p w14:paraId="2793A85C">
            <w:pPr>
              <w:pStyle w:val="24"/>
              <w:rPr>
                <w:sz w:val="20"/>
              </w:rPr>
            </w:pPr>
          </w:p>
          <w:p w14:paraId="5F578641">
            <w:pPr>
              <w:pStyle w:val="24"/>
              <w:spacing w:before="12"/>
              <w:rPr>
                <w:sz w:val="16"/>
              </w:rPr>
            </w:pPr>
          </w:p>
          <w:p w14:paraId="54F50AAF">
            <w:pPr>
              <w:pStyle w:val="24"/>
              <w:spacing w:line="393" w:lineRule="auto"/>
              <w:ind w:left="440" w:right="122" w:hanging="315"/>
              <w:rPr>
                <w:sz w:val="21"/>
              </w:rPr>
            </w:pPr>
            <w:r>
              <w:rPr>
                <w:sz w:val="21"/>
              </w:rPr>
              <w:t>项目概况及投标人承担的工作描述</w:t>
            </w:r>
          </w:p>
        </w:tc>
        <w:tc>
          <w:tcPr>
            <w:tcW w:w="6807" w:type="dxa"/>
            <w:tcBorders>
              <w:top w:val="single" w:color="000000" w:sz="6" w:space="0"/>
              <w:left w:val="single" w:color="000000" w:sz="6" w:space="0"/>
              <w:bottom w:val="single" w:color="000000" w:sz="6" w:space="0"/>
            </w:tcBorders>
          </w:tcPr>
          <w:p w14:paraId="0A523BF4">
            <w:pPr>
              <w:pStyle w:val="24"/>
              <w:rPr>
                <w:rFonts w:ascii="Times New Roman"/>
                <w:sz w:val="20"/>
              </w:rPr>
            </w:pPr>
          </w:p>
        </w:tc>
      </w:tr>
      <w:tr w14:paraId="0AFC634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04" w:hRule="atLeast"/>
        </w:trPr>
        <w:tc>
          <w:tcPr>
            <w:tcW w:w="2161" w:type="dxa"/>
            <w:tcBorders>
              <w:top w:val="single" w:color="000000" w:sz="6" w:space="0"/>
              <w:right w:val="single" w:color="000000" w:sz="6" w:space="0"/>
            </w:tcBorders>
          </w:tcPr>
          <w:p w14:paraId="2E0D67BA">
            <w:pPr>
              <w:pStyle w:val="24"/>
              <w:spacing w:before="6"/>
              <w:rPr>
                <w:sz w:val="17"/>
              </w:rPr>
            </w:pPr>
          </w:p>
          <w:p w14:paraId="2B107554">
            <w:pPr>
              <w:pStyle w:val="24"/>
              <w:ind w:left="525" w:right="523"/>
              <w:jc w:val="center"/>
              <w:rPr>
                <w:sz w:val="21"/>
              </w:rPr>
            </w:pPr>
            <w:r>
              <w:rPr>
                <w:sz w:val="21"/>
              </w:rPr>
              <w:t>备注</w:t>
            </w:r>
          </w:p>
        </w:tc>
        <w:tc>
          <w:tcPr>
            <w:tcW w:w="6807" w:type="dxa"/>
            <w:tcBorders>
              <w:top w:val="single" w:color="000000" w:sz="6" w:space="0"/>
              <w:left w:val="single" w:color="000000" w:sz="6" w:space="0"/>
            </w:tcBorders>
          </w:tcPr>
          <w:p w14:paraId="25E3D774">
            <w:pPr>
              <w:pStyle w:val="24"/>
              <w:rPr>
                <w:rFonts w:ascii="Times New Roman"/>
                <w:sz w:val="20"/>
              </w:rPr>
            </w:pPr>
          </w:p>
        </w:tc>
      </w:tr>
    </w:tbl>
    <w:p w14:paraId="071A1643">
      <w:pPr>
        <w:spacing w:line="600" w:lineRule="exact"/>
        <w:jc w:val="left"/>
        <w:rPr>
          <w:rFonts w:ascii="宋体" w:hAnsi="Arial" w:cs="Arial"/>
          <w:szCs w:val="21"/>
        </w:rPr>
      </w:pPr>
      <w:r>
        <w:rPr>
          <w:rFonts w:hint="eastAsia" w:ascii="宋体" w:hAnsi="Arial" w:cs="Arial"/>
          <w:szCs w:val="21"/>
        </w:rPr>
        <w:t>备注：</w:t>
      </w:r>
      <w:r>
        <w:rPr>
          <w:rFonts w:hint="eastAsia" w:ascii="宋体" w:hAnsi="Arial" w:cs="Arial"/>
          <w:b/>
          <w:bCs/>
          <w:szCs w:val="21"/>
        </w:rPr>
        <w:t>此表为单项业绩情况，表后附相应业绩合同复印件并加盖公章。</w:t>
      </w:r>
    </w:p>
    <w:p w14:paraId="538623EF">
      <w:pPr>
        <w:spacing w:line="600" w:lineRule="exact"/>
        <w:jc w:val="left"/>
        <w:rPr>
          <w:rFonts w:ascii="宋体" w:hAnsi="Arial" w:cs="Arial"/>
          <w:szCs w:val="21"/>
        </w:rPr>
      </w:pPr>
    </w:p>
    <w:p w14:paraId="1516DB5A">
      <w:pPr>
        <w:adjustRightInd w:val="0"/>
        <w:snapToGrid w:val="0"/>
        <w:spacing w:line="360" w:lineRule="auto"/>
        <w:jc w:val="left"/>
        <w:rPr>
          <w:rFonts w:ascii="宋体" w:hAnsi="Arial" w:cs="Arial"/>
          <w:szCs w:val="21"/>
        </w:rPr>
      </w:pPr>
    </w:p>
    <w:p w14:paraId="4D09917A">
      <w:pPr>
        <w:adjustRightInd w:val="0"/>
        <w:snapToGrid w:val="0"/>
        <w:spacing w:line="360" w:lineRule="auto"/>
        <w:ind w:firstLine="420" w:firstLineChars="200"/>
        <w:jc w:val="left"/>
        <w:rPr>
          <w:rFonts w:ascii="宋体" w:hAnsi="Arial" w:cs="Arial"/>
          <w:szCs w:val="21"/>
        </w:rPr>
      </w:pPr>
    </w:p>
    <w:p w14:paraId="5ACE6464">
      <w:pPr>
        <w:pStyle w:val="7"/>
        <w:spacing w:before="18"/>
        <w:jc w:val="center"/>
        <w:rPr>
          <w:rFonts w:ascii="方正小标宋_GBK" w:eastAsia="方正小标宋_GBK"/>
          <w:sz w:val="36"/>
          <w:szCs w:val="36"/>
          <w:lang w:val="en-US"/>
        </w:rPr>
      </w:pPr>
    </w:p>
    <w:p w14:paraId="71BC0091">
      <w:pPr>
        <w:pStyle w:val="7"/>
        <w:spacing w:before="18"/>
        <w:jc w:val="center"/>
        <w:rPr>
          <w:rFonts w:ascii="Microsoft JhengHei"/>
          <w:b/>
          <w:sz w:val="15"/>
        </w:rPr>
      </w:pPr>
      <w:r>
        <w:rPr>
          <w:rFonts w:hint="eastAsia" w:ascii="方正小标宋_GBK" w:eastAsia="方正小标宋_GBK"/>
          <w:sz w:val="36"/>
          <w:szCs w:val="36"/>
          <w:lang w:val="en-US"/>
        </w:rPr>
        <w:t>五</w:t>
      </w:r>
      <w:r>
        <w:rPr>
          <w:rFonts w:hint="eastAsia" w:ascii="方正小标宋_GBK" w:eastAsia="方正小标宋_GBK"/>
          <w:sz w:val="36"/>
          <w:szCs w:val="36"/>
        </w:rPr>
        <w:t>、服务承诺书</w:t>
      </w:r>
    </w:p>
    <w:p w14:paraId="3D2A4017">
      <w:pPr>
        <w:pStyle w:val="7"/>
        <w:ind w:left="5250"/>
      </w:pPr>
    </w:p>
    <w:p w14:paraId="58D30516">
      <w:pPr>
        <w:spacing w:line="360" w:lineRule="auto"/>
        <w:ind w:firstLine="480" w:firstLineChars="200"/>
        <w:rPr>
          <w:rFonts w:ascii="宋体"/>
          <w:color w:val="000000"/>
          <w:sz w:val="24"/>
        </w:rPr>
      </w:pPr>
      <w:r>
        <w:rPr>
          <w:rFonts w:hint="eastAsia" w:ascii="宋体" w:hAnsi="宋体"/>
          <w:color w:val="000000"/>
          <w:sz w:val="24"/>
        </w:rPr>
        <w:t>本公司郑重承诺：</w:t>
      </w:r>
    </w:p>
    <w:p w14:paraId="2C7CAD1D">
      <w:pPr>
        <w:pStyle w:val="22"/>
        <w:spacing w:line="360" w:lineRule="auto"/>
        <w:ind w:left="906" w:firstLine="0"/>
        <w:rPr>
          <w:color w:val="000000"/>
          <w:sz w:val="24"/>
        </w:rPr>
      </w:pPr>
      <w:r>
        <w:rPr>
          <w:rFonts w:hint="eastAsia"/>
          <w:color w:val="000000"/>
          <w:sz w:val="24"/>
        </w:rPr>
        <w:t>一、保证中标后不转包；</w:t>
      </w:r>
    </w:p>
    <w:p w14:paraId="297A82C5">
      <w:pPr>
        <w:pStyle w:val="22"/>
        <w:spacing w:line="360" w:lineRule="auto"/>
        <w:ind w:left="906" w:firstLine="0"/>
        <w:rPr>
          <w:color w:val="000000"/>
          <w:sz w:val="24"/>
        </w:rPr>
      </w:pPr>
      <w:r>
        <w:rPr>
          <w:rFonts w:hint="eastAsia"/>
          <w:color w:val="000000"/>
          <w:sz w:val="24"/>
        </w:rPr>
        <w:t>二、保证中标后，按照招标文件要求提供合格产品，严把质量关；</w:t>
      </w:r>
    </w:p>
    <w:p w14:paraId="748FDDDB">
      <w:pPr>
        <w:pStyle w:val="22"/>
        <w:spacing w:line="360" w:lineRule="auto"/>
        <w:ind w:left="906" w:firstLine="0"/>
        <w:rPr>
          <w:color w:val="000000"/>
          <w:sz w:val="24"/>
        </w:rPr>
      </w:pPr>
      <w:r>
        <w:rPr>
          <w:rFonts w:hint="eastAsia"/>
          <w:color w:val="000000"/>
          <w:sz w:val="24"/>
        </w:rPr>
        <w:t>三、确保按双方签订合同的要求保质保量及时交货，确保产品运行的可靠性；</w:t>
      </w:r>
    </w:p>
    <w:p w14:paraId="1FAF05F4">
      <w:pPr>
        <w:pStyle w:val="22"/>
        <w:spacing w:line="360" w:lineRule="auto"/>
        <w:ind w:left="906" w:firstLine="0"/>
        <w:rPr>
          <w:color w:val="000000"/>
          <w:sz w:val="24"/>
        </w:rPr>
      </w:pPr>
      <w:r>
        <w:rPr>
          <w:rFonts w:hint="eastAsia"/>
          <w:color w:val="000000"/>
          <w:sz w:val="24"/>
        </w:rPr>
        <w:t>四、安排人员做好售后服务工作，并与招标方密切配合。</w:t>
      </w:r>
    </w:p>
    <w:p w14:paraId="4F78172D">
      <w:pPr>
        <w:spacing w:line="360" w:lineRule="auto"/>
        <w:ind w:firstLine="360" w:firstLineChars="150"/>
        <w:rPr>
          <w:rFonts w:ascii="宋体"/>
          <w:color w:val="000000"/>
          <w:sz w:val="24"/>
          <w:u w:val="single"/>
        </w:rPr>
      </w:pPr>
      <w:r>
        <w:rPr>
          <w:rFonts w:hint="eastAsia" w:ascii="宋体" w:hAnsi="宋体"/>
          <w:color w:val="000000"/>
          <w:sz w:val="24"/>
        </w:rPr>
        <w:t xml:space="preserve">     五、</w:t>
      </w:r>
      <w:r>
        <w:rPr>
          <w:rFonts w:hint="eastAsia" w:ascii="宋体" w:hAnsi="宋体"/>
          <w:color w:val="000000"/>
          <w:sz w:val="24"/>
          <w:u w:val="single"/>
        </w:rPr>
        <w:t xml:space="preserve">                                                      </w:t>
      </w:r>
    </w:p>
    <w:p w14:paraId="4804A6C0">
      <w:pPr>
        <w:spacing w:line="360" w:lineRule="auto"/>
        <w:ind w:firstLine="360" w:firstLineChars="150"/>
        <w:rPr>
          <w:rFonts w:ascii="宋体"/>
          <w:color w:val="000000"/>
          <w:sz w:val="24"/>
          <w:u w:val="single"/>
        </w:rPr>
      </w:pPr>
      <w:r>
        <w:rPr>
          <w:rFonts w:hint="eastAsia" w:ascii="宋体" w:hAnsi="宋体"/>
          <w:color w:val="000000"/>
          <w:sz w:val="24"/>
        </w:rPr>
        <w:t xml:space="preserve">     六、</w:t>
      </w:r>
      <w:r>
        <w:rPr>
          <w:rFonts w:hint="eastAsia" w:ascii="宋体" w:hAnsi="宋体"/>
          <w:color w:val="000000"/>
          <w:sz w:val="24"/>
          <w:u w:val="single"/>
        </w:rPr>
        <w:t xml:space="preserve">                                                       </w:t>
      </w:r>
    </w:p>
    <w:p w14:paraId="108C0E91">
      <w:pPr>
        <w:spacing w:line="360" w:lineRule="auto"/>
        <w:ind w:firstLine="360" w:firstLineChars="150"/>
        <w:rPr>
          <w:rFonts w:ascii="宋体"/>
          <w:color w:val="000000"/>
          <w:sz w:val="24"/>
        </w:rPr>
      </w:pPr>
      <w:r>
        <w:rPr>
          <w:rFonts w:hint="eastAsia" w:ascii="宋体" w:hAnsi="宋体"/>
          <w:color w:val="000000"/>
          <w:sz w:val="24"/>
        </w:rPr>
        <w:t>（投标方可根据自身优势对服务承诺进行添加）</w:t>
      </w:r>
    </w:p>
    <w:p w14:paraId="0D9B472C">
      <w:pPr>
        <w:spacing w:line="360" w:lineRule="auto"/>
        <w:ind w:firstLine="528" w:firstLineChars="220"/>
        <w:rPr>
          <w:rFonts w:ascii="宋体"/>
          <w:color w:val="000000"/>
          <w:sz w:val="24"/>
        </w:rPr>
      </w:pPr>
    </w:p>
    <w:p w14:paraId="7463E3E2">
      <w:pPr>
        <w:spacing w:before="480" w:beforeLines="200" w:after="120" w:afterLines="50" w:line="260" w:lineRule="exact"/>
        <w:rPr>
          <w:rFonts w:ascii="宋体" w:hAnsi="Arial" w:cs="Arial"/>
          <w:sz w:val="24"/>
        </w:rPr>
      </w:pPr>
      <w:r>
        <w:rPr>
          <w:rFonts w:hint="eastAsia" w:ascii="宋体" w:hAnsi="Arial" w:cs="Arial"/>
          <w:sz w:val="24"/>
        </w:rPr>
        <w:t xml:space="preserve">    投标单位盖章</w:t>
      </w:r>
    </w:p>
    <w:p w14:paraId="1CFA250A">
      <w:pPr>
        <w:spacing w:before="480" w:beforeLines="200" w:after="120" w:afterLines="50" w:line="260" w:lineRule="exact"/>
        <w:rPr>
          <w:rFonts w:ascii="宋体" w:hAnsi="Arial" w:cs="Arial"/>
          <w:sz w:val="24"/>
        </w:rPr>
      </w:pPr>
      <w:r>
        <w:rPr>
          <w:rFonts w:hint="eastAsia" w:ascii="宋体" w:hAnsi="Arial" w:cs="Arial"/>
          <w:sz w:val="24"/>
        </w:rPr>
        <w:t xml:space="preserve">   投标人代表签字：</w:t>
      </w:r>
    </w:p>
    <w:p w14:paraId="2F1CFEA6">
      <w:pPr>
        <w:spacing w:before="480" w:beforeLines="200" w:after="120" w:afterLines="50" w:line="260" w:lineRule="exact"/>
        <w:rPr>
          <w:rFonts w:ascii="宋体" w:hAnsi="Arial" w:cs="Arial"/>
          <w:sz w:val="24"/>
        </w:rPr>
      </w:pPr>
    </w:p>
    <w:p w14:paraId="45EBCF9D">
      <w:pPr>
        <w:spacing w:before="480" w:beforeLines="200" w:after="120" w:afterLines="50" w:line="260" w:lineRule="exact"/>
        <w:rPr>
          <w:rFonts w:ascii="宋体" w:hAnsi="Arial" w:cs="Arial"/>
          <w:sz w:val="24"/>
        </w:rPr>
      </w:pPr>
      <w:r>
        <w:rPr>
          <w:rFonts w:hint="eastAsia" w:ascii="宋体" w:hAnsi="Arial" w:cs="Arial"/>
          <w:sz w:val="24"/>
        </w:rPr>
        <w:t xml:space="preserve">                                                 年   月   日</w:t>
      </w:r>
    </w:p>
    <w:p w14:paraId="3AB9071F">
      <w:pPr>
        <w:spacing w:line="600" w:lineRule="exact"/>
        <w:jc w:val="left"/>
        <w:rPr>
          <w:rFonts w:ascii="宋体" w:hAnsi="Arial" w:cs="Arial"/>
          <w:szCs w:val="21"/>
        </w:rPr>
      </w:pPr>
    </w:p>
    <w:p w14:paraId="07C21151">
      <w:pPr>
        <w:adjustRightInd w:val="0"/>
        <w:snapToGrid w:val="0"/>
        <w:spacing w:line="360" w:lineRule="auto"/>
        <w:ind w:firstLine="420" w:firstLineChars="200"/>
        <w:jc w:val="left"/>
        <w:rPr>
          <w:rFonts w:ascii="宋体" w:hAnsi="Arial" w:cs="Arial"/>
          <w:szCs w:val="21"/>
        </w:rPr>
      </w:pPr>
    </w:p>
    <w:p w14:paraId="36346A15">
      <w:pPr>
        <w:adjustRightInd w:val="0"/>
        <w:snapToGrid w:val="0"/>
        <w:spacing w:line="360" w:lineRule="auto"/>
        <w:ind w:firstLine="420" w:firstLineChars="200"/>
        <w:jc w:val="left"/>
        <w:rPr>
          <w:rFonts w:ascii="宋体" w:hAnsi="Arial" w:cs="Arial"/>
          <w:szCs w:val="21"/>
        </w:rPr>
      </w:pPr>
    </w:p>
    <w:p w14:paraId="54614E9B">
      <w:pPr>
        <w:adjustRightInd w:val="0"/>
        <w:snapToGrid w:val="0"/>
        <w:spacing w:line="360" w:lineRule="auto"/>
        <w:ind w:firstLine="420" w:firstLineChars="200"/>
        <w:jc w:val="left"/>
        <w:rPr>
          <w:rFonts w:ascii="宋体" w:hAnsi="Arial" w:cs="Arial"/>
          <w:szCs w:val="21"/>
        </w:rPr>
      </w:pPr>
    </w:p>
    <w:p w14:paraId="4C9218D3">
      <w:pPr>
        <w:adjustRightInd w:val="0"/>
        <w:snapToGrid w:val="0"/>
        <w:spacing w:line="360" w:lineRule="auto"/>
        <w:ind w:firstLine="420" w:firstLineChars="200"/>
        <w:jc w:val="left"/>
        <w:rPr>
          <w:rFonts w:ascii="宋体" w:hAnsi="Arial" w:cs="Arial"/>
          <w:szCs w:val="21"/>
        </w:rPr>
      </w:pPr>
    </w:p>
    <w:p w14:paraId="03EEA81B">
      <w:pPr>
        <w:adjustRightInd w:val="0"/>
        <w:snapToGrid w:val="0"/>
        <w:spacing w:line="360" w:lineRule="auto"/>
        <w:ind w:firstLine="420" w:firstLineChars="200"/>
        <w:jc w:val="left"/>
        <w:rPr>
          <w:rFonts w:ascii="宋体" w:hAnsi="Arial" w:cs="Arial"/>
          <w:szCs w:val="21"/>
        </w:rPr>
      </w:pPr>
    </w:p>
    <w:p w14:paraId="6A5B35ED">
      <w:pPr>
        <w:adjustRightInd w:val="0"/>
        <w:snapToGrid w:val="0"/>
        <w:spacing w:line="360" w:lineRule="auto"/>
        <w:ind w:firstLine="420" w:firstLineChars="200"/>
        <w:jc w:val="left"/>
        <w:rPr>
          <w:rFonts w:ascii="宋体" w:hAnsi="Arial" w:cs="Arial"/>
          <w:szCs w:val="21"/>
        </w:rPr>
      </w:pPr>
    </w:p>
    <w:p w14:paraId="797C3FC5">
      <w:pPr>
        <w:adjustRightInd w:val="0"/>
        <w:snapToGrid w:val="0"/>
        <w:spacing w:line="360" w:lineRule="auto"/>
        <w:ind w:firstLine="420" w:firstLineChars="200"/>
        <w:jc w:val="left"/>
        <w:rPr>
          <w:rFonts w:ascii="宋体" w:hAnsi="Arial" w:cs="Arial"/>
          <w:szCs w:val="21"/>
        </w:rPr>
      </w:pPr>
    </w:p>
    <w:p w14:paraId="1C1EC79A">
      <w:pPr>
        <w:adjustRightInd w:val="0"/>
        <w:snapToGrid w:val="0"/>
        <w:spacing w:line="360" w:lineRule="auto"/>
        <w:ind w:firstLine="420" w:firstLineChars="200"/>
        <w:jc w:val="left"/>
        <w:rPr>
          <w:rFonts w:ascii="宋体" w:hAnsi="Arial" w:cs="Arial"/>
          <w:szCs w:val="21"/>
        </w:rPr>
      </w:pPr>
    </w:p>
    <w:p w14:paraId="5485C0C8">
      <w:pPr>
        <w:adjustRightInd w:val="0"/>
        <w:snapToGrid w:val="0"/>
        <w:spacing w:line="360" w:lineRule="auto"/>
        <w:ind w:firstLine="420" w:firstLineChars="200"/>
        <w:jc w:val="left"/>
        <w:rPr>
          <w:rFonts w:ascii="宋体" w:hAnsi="Arial" w:cs="Arial"/>
          <w:szCs w:val="21"/>
        </w:rPr>
      </w:pPr>
    </w:p>
    <w:p w14:paraId="078BA9CB">
      <w:pPr>
        <w:adjustRightInd w:val="0"/>
        <w:snapToGrid w:val="0"/>
        <w:spacing w:line="360" w:lineRule="auto"/>
        <w:ind w:firstLine="420" w:firstLineChars="200"/>
        <w:jc w:val="left"/>
        <w:rPr>
          <w:rFonts w:ascii="宋体" w:hAnsi="Arial" w:cs="Arial"/>
          <w:szCs w:val="21"/>
        </w:rPr>
      </w:pPr>
    </w:p>
    <w:p w14:paraId="17E02641">
      <w:pPr>
        <w:adjustRightInd w:val="0"/>
        <w:snapToGrid w:val="0"/>
        <w:spacing w:line="360" w:lineRule="auto"/>
        <w:ind w:firstLine="420" w:firstLineChars="200"/>
        <w:jc w:val="left"/>
        <w:rPr>
          <w:rFonts w:ascii="宋体" w:hAnsi="Arial" w:cs="Arial"/>
          <w:szCs w:val="21"/>
        </w:rPr>
      </w:pPr>
    </w:p>
    <w:p w14:paraId="12C9CF11">
      <w:pPr>
        <w:adjustRightInd w:val="0"/>
        <w:snapToGrid w:val="0"/>
        <w:spacing w:line="360" w:lineRule="auto"/>
        <w:ind w:firstLine="420" w:firstLineChars="200"/>
        <w:jc w:val="left"/>
        <w:rPr>
          <w:rFonts w:ascii="宋体" w:hAnsi="Arial" w:cs="Arial"/>
          <w:szCs w:val="21"/>
        </w:rPr>
      </w:pPr>
    </w:p>
    <w:p w14:paraId="6C131CA1">
      <w:pPr>
        <w:spacing w:line="360" w:lineRule="auto"/>
        <w:jc w:val="center"/>
        <w:rPr>
          <w:b/>
          <w:sz w:val="32"/>
          <w:szCs w:val="32"/>
        </w:rPr>
      </w:pPr>
      <w:r>
        <w:rPr>
          <w:rFonts w:hint="eastAsia" w:hAnsi="宋体"/>
          <w:b/>
          <w:sz w:val="32"/>
          <w:szCs w:val="32"/>
        </w:rPr>
        <w:t>湖南省湘澧盐化有限责任公司</w:t>
      </w:r>
    </w:p>
    <w:p w14:paraId="35CAD642">
      <w:pPr>
        <w:spacing w:line="360" w:lineRule="auto"/>
        <w:jc w:val="center"/>
        <w:rPr>
          <w:b/>
          <w:sz w:val="36"/>
          <w:szCs w:val="36"/>
        </w:rPr>
      </w:pPr>
      <w:r>
        <w:rPr>
          <w:rFonts w:hint="eastAsia" w:ascii="宋体" w:cs="宋体"/>
          <w:bCs/>
          <w:color w:val="000000"/>
          <w:sz w:val="36"/>
          <w:szCs w:val="36"/>
        </w:rPr>
        <w:t>生态盐气力输送仓顶布袋除尘器</w:t>
      </w:r>
      <w:r>
        <w:rPr>
          <w:rFonts w:hint="eastAsia"/>
          <w:sz w:val="36"/>
          <w:szCs w:val="36"/>
        </w:rPr>
        <w:t>改造</w:t>
      </w:r>
    </w:p>
    <w:p w14:paraId="7AB93A95">
      <w:pPr>
        <w:jc w:val="center"/>
        <w:rPr>
          <w:rFonts w:ascii="黑体" w:hAnsi="黑体" w:eastAsia="黑体" w:cs="黑体"/>
          <w:b/>
          <w:sz w:val="30"/>
          <w:szCs w:val="30"/>
        </w:rPr>
      </w:pPr>
    </w:p>
    <w:p w14:paraId="2AE2048E">
      <w:pPr>
        <w:jc w:val="center"/>
        <w:rPr>
          <w:rFonts w:ascii="黑体" w:hAnsi="黑体" w:eastAsia="黑体" w:cs="黑体"/>
          <w:b/>
          <w:sz w:val="44"/>
          <w:szCs w:val="44"/>
        </w:rPr>
      </w:pPr>
      <w:r>
        <w:rPr>
          <w:rFonts w:hint="eastAsia" w:ascii="黑体" w:hAnsi="黑体" w:eastAsia="黑体" w:cs="黑体"/>
          <w:b/>
          <w:sz w:val="44"/>
          <w:szCs w:val="44"/>
        </w:rPr>
        <w:t>技术规范书</w:t>
      </w:r>
    </w:p>
    <w:p w14:paraId="5293EEF0">
      <w:pPr>
        <w:jc w:val="center"/>
        <w:rPr>
          <w:rFonts w:ascii="黑体" w:hAnsi="黑体" w:eastAsia="黑体" w:cs="黑体"/>
          <w:b/>
          <w:sz w:val="44"/>
          <w:szCs w:val="44"/>
        </w:rPr>
      </w:pPr>
    </w:p>
    <w:p w14:paraId="52332552">
      <w:pPr>
        <w:numPr>
          <w:ilvl w:val="0"/>
          <w:numId w:val="2"/>
        </w:numPr>
        <w:spacing w:before="120" w:beforeLines="50" w:after="120" w:afterLines="50" w:line="360" w:lineRule="auto"/>
        <w:rPr>
          <w:rFonts w:ascii="宋体" w:hAnsi="宋体" w:cs="宋体"/>
          <w:b/>
          <w:bCs/>
          <w:kern w:val="0"/>
          <w:sz w:val="24"/>
        </w:rPr>
      </w:pPr>
      <w:r>
        <w:rPr>
          <w:rFonts w:hint="eastAsia" w:ascii="宋体" w:hAnsi="宋体" w:cs="宋体"/>
          <w:b/>
          <w:bCs/>
          <w:kern w:val="0"/>
          <w:sz w:val="24"/>
          <w:lang w:eastAsia="ja-JP"/>
        </w:rPr>
        <w:t>总则</w:t>
      </w:r>
    </w:p>
    <w:p w14:paraId="1952B70A">
      <w:pPr>
        <w:spacing w:before="120" w:beforeLines="50" w:after="120" w:afterLines="50" w:line="360" w:lineRule="auto"/>
        <w:ind w:firstLine="240" w:firstLineChars="100"/>
        <w:rPr>
          <w:rFonts w:ascii="宋体" w:hAnsi="宋体" w:cs="宋体"/>
          <w:sz w:val="24"/>
        </w:rPr>
      </w:pPr>
      <w:r>
        <w:rPr>
          <w:rFonts w:hint="eastAsia" w:ascii="宋体" w:hAnsi="宋体" w:cs="宋体"/>
          <w:bCs/>
          <w:kern w:val="0"/>
          <w:sz w:val="24"/>
        </w:rPr>
        <w:t>1.1本技术规范适用于</w:t>
      </w:r>
      <w:r>
        <w:rPr>
          <w:rFonts w:hint="eastAsia" w:ascii="宋体" w:hAnsi="宋体" w:cs="宋体"/>
          <w:sz w:val="24"/>
        </w:rPr>
        <w:t>湖南省湘澧盐化有限责任</w:t>
      </w:r>
      <w:r>
        <w:rPr>
          <w:rFonts w:hint="eastAsia" w:ascii="宋体" w:cs="宋体"/>
          <w:bCs/>
          <w:color w:val="000000"/>
          <w:sz w:val="24"/>
        </w:rPr>
        <w:t>生态盐气力输送仓顶布袋除尘器改造</w:t>
      </w:r>
      <w:r>
        <w:rPr>
          <w:rFonts w:hint="eastAsia" w:ascii="宋体" w:hAnsi="宋体" w:cs="宋体"/>
          <w:sz w:val="24"/>
        </w:rPr>
        <w:t>。它提出了对除尘系统设备、配套收尘系统等安装施工、试验、验收的技术规范。该工程属于包工包料的交钥匙工程。</w:t>
      </w:r>
    </w:p>
    <w:p w14:paraId="02579F31">
      <w:pPr>
        <w:spacing w:after="120" w:afterLines="50" w:line="360" w:lineRule="auto"/>
        <w:ind w:firstLine="240" w:firstLineChars="100"/>
        <w:rPr>
          <w:rFonts w:ascii="宋体" w:hAnsi="宋体" w:cs="宋体"/>
          <w:sz w:val="24"/>
        </w:rPr>
      </w:pPr>
      <w:r>
        <w:rPr>
          <w:rFonts w:hint="eastAsia" w:ascii="宋体" w:hAnsi="宋体" w:cs="宋体"/>
          <w:sz w:val="24"/>
        </w:rPr>
        <w:t>1.2本规格书提出的是最低限度的技术要求，并未对一切技术细节作出规定，也未充分引述有关标准和规范的条文。</w:t>
      </w:r>
    </w:p>
    <w:p w14:paraId="07BFB18C">
      <w:pPr>
        <w:spacing w:after="120" w:afterLines="50" w:line="360" w:lineRule="auto"/>
        <w:ind w:firstLine="240" w:firstLineChars="100"/>
        <w:rPr>
          <w:rFonts w:ascii="宋体" w:hAnsi="宋体" w:cs="宋体"/>
          <w:sz w:val="24"/>
        </w:rPr>
      </w:pPr>
      <w:r>
        <w:rPr>
          <w:rFonts w:hint="eastAsia" w:ascii="宋体" w:hAnsi="宋体" w:cs="宋体"/>
          <w:sz w:val="24"/>
        </w:rPr>
        <w:t>1.3如果投标人没有以书面形式对本规格书的条文提出异议，则意味着投标人提供的设备完全符合本规格书的要求。如有异议，不管多么微小，都应在报价书中以偏差表加以详细描述。</w:t>
      </w:r>
    </w:p>
    <w:p w14:paraId="002FAC59">
      <w:pPr>
        <w:spacing w:after="120" w:afterLines="50" w:line="360" w:lineRule="auto"/>
        <w:ind w:firstLine="240" w:firstLineChars="100"/>
        <w:rPr>
          <w:rFonts w:ascii="宋体" w:hAnsi="宋体" w:cs="宋体"/>
          <w:sz w:val="24"/>
        </w:rPr>
      </w:pPr>
      <w:r>
        <w:rPr>
          <w:rFonts w:hint="eastAsia" w:ascii="宋体" w:hAnsi="宋体" w:cs="宋体"/>
          <w:sz w:val="24"/>
        </w:rPr>
        <w:t>1.4投标人应按照招标人的全部文件、设计图纸及双方协商一致同意的条件来进行设备选用、管道安装施工、试验、验收，并应对其质量和性能承担全部责任。投标人应遵守本附件条款，不得随意更改。</w:t>
      </w:r>
    </w:p>
    <w:p w14:paraId="52D604C9">
      <w:pPr>
        <w:spacing w:after="120" w:afterLines="50" w:line="360" w:lineRule="auto"/>
        <w:ind w:firstLine="240" w:firstLineChars="100"/>
        <w:rPr>
          <w:rFonts w:ascii="宋体" w:hAnsi="宋体" w:cs="宋体"/>
          <w:sz w:val="24"/>
        </w:rPr>
      </w:pPr>
      <w:r>
        <w:rPr>
          <w:rFonts w:hint="eastAsia" w:ascii="宋体" w:hAnsi="宋体" w:cs="宋体"/>
          <w:sz w:val="24"/>
        </w:rPr>
        <w:t>1.5签订合同之后，招标方有权提出因规范标准和规程发生变化而产生的补充要求，具体项目由招标方与投标方共同商定。</w:t>
      </w:r>
    </w:p>
    <w:p w14:paraId="047C3C19">
      <w:pPr>
        <w:spacing w:before="120" w:beforeLines="50" w:after="120" w:afterLines="50" w:line="360" w:lineRule="auto"/>
        <w:rPr>
          <w:rFonts w:ascii="宋体" w:hAnsi="宋体" w:cs="宋体"/>
          <w:b/>
          <w:bCs/>
          <w:sz w:val="24"/>
        </w:rPr>
      </w:pPr>
      <w:bookmarkStart w:id="1" w:name="_Toc270430085"/>
      <w:bookmarkStart w:id="2" w:name="_Toc174846722"/>
      <w:bookmarkStart w:id="3" w:name="_Toc132532508"/>
      <w:r>
        <w:rPr>
          <w:rFonts w:hint="eastAsia" w:ascii="宋体" w:hAnsi="宋体" w:cs="宋体"/>
          <w:b/>
          <w:bCs/>
          <w:sz w:val="24"/>
        </w:rPr>
        <w:t>2、 标准和规范</w:t>
      </w:r>
      <w:bookmarkEnd w:id="1"/>
      <w:bookmarkEnd w:id="2"/>
      <w:bookmarkStart w:id="4" w:name="_Toc270430086"/>
      <w:bookmarkStart w:id="5" w:name="_Toc178417388"/>
    </w:p>
    <w:bookmarkEnd w:id="3"/>
    <w:bookmarkEnd w:id="4"/>
    <w:bookmarkEnd w:id="5"/>
    <w:p w14:paraId="31CC1E3B">
      <w:pPr>
        <w:spacing w:after="120" w:afterLines="50" w:line="360" w:lineRule="auto"/>
        <w:ind w:firstLine="240" w:firstLineChars="100"/>
        <w:rPr>
          <w:rFonts w:ascii="宋体" w:hAnsi="宋体" w:cs="宋体"/>
          <w:sz w:val="24"/>
        </w:rPr>
      </w:pPr>
      <w:r>
        <w:rPr>
          <w:rFonts w:hint="eastAsia" w:ascii="宋体" w:hAnsi="宋体" w:cs="宋体"/>
          <w:bCs/>
          <w:sz w:val="24"/>
        </w:rPr>
        <w:t>1.</w:t>
      </w:r>
      <w:r>
        <w:rPr>
          <w:rFonts w:hint="eastAsia" w:ascii="宋体" w:hAnsi="宋体" w:cs="宋体"/>
          <w:sz w:val="24"/>
        </w:rPr>
        <w:t>其采购的设备、管道等安装施工、试验、验收等应符合国家标准和规范以及有关的法规要求。上述标准均应为招标截止日时的最新有效版本。</w:t>
      </w:r>
    </w:p>
    <w:p w14:paraId="368641AD">
      <w:pPr>
        <w:spacing w:after="120" w:afterLines="50" w:line="360" w:lineRule="auto"/>
        <w:ind w:firstLine="240" w:firstLineChars="100"/>
        <w:rPr>
          <w:rFonts w:ascii="宋体" w:hAnsi="宋体" w:cs="宋体"/>
          <w:sz w:val="24"/>
        </w:rPr>
      </w:pPr>
      <w:r>
        <w:rPr>
          <w:rFonts w:hint="eastAsia" w:ascii="宋体" w:hAnsi="宋体" w:cs="宋体"/>
          <w:sz w:val="24"/>
        </w:rPr>
        <w:t>2.原则上，投标人必须使用设计、材料、制造、检验、试验等符合规定的标准和规范以及有关的法规要求。当与规定的标准和规范或法规要求有偏离时，投标人应及时将偏离内容提交招标人确认。如招标人同意，则应签署备忘录，并纳入合同。</w:t>
      </w:r>
    </w:p>
    <w:p w14:paraId="0A93253F">
      <w:pPr>
        <w:spacing w:after="120" w:afterLines="50" w:line="360" w:lineRule="auto"/>
        <w:ind w:firstLine="240" w:firstLineChars="100"/>
        <w:rPr>
          <w:rFonts w:ascii="宋体" w:hAnsi="宋体" w:cs="宋体"/>
          <w:sz w:val="24"/>
        </w:rPr>
      </w:pPr>
      <w:r>
        <w:rPr>
          <w:rFonts w:hint="eastAsia" w:ascii="宋体" w:hAnsi="宋体" w:cs="宋体"/>
          <w:sz w:val="24"/>
        </w:rPr>
        <w:t>3.下列标准和规范在</w:t>
      </w:r>
      <w:bookmarkStart w:id="6" w:name="OLE_LINK2"/>
      <w:r>
        <w:rPr>
          <w:rFonts w:hint="eastAsia" w:ascii="宋体" w:hAnsi="宋体" w:cs="宋体"/>
          <w:sz w:val="24"/>
        </w:rPr>
        <w:t>合同生效日</w:t>
      </w:r>
      <w:bookmarkEnd w:id="6"/>
      <w:r>
        <w:rPr>
          <w:rFonts w:hint="eastAsia" w:ascii="宋体" w:hAnsi="宋体" w:cs="宋体"/>
          <w:sz w:val="24"/>
        </w:rPr>
        <w:t>的最新版应构成本规定的一部分。</w:t>
      </w:r>
    </w:p>
    <w:p w14:paraId="07655A09">
      <w:pPr>
        <w:spacing w:line="360" w:lineRule="auto"/>
        <w:ind w:firstLine="480" w:firstLineChars="200"/>
        <w:jc w:val="left"/>
        <w:rPr>
          <w:sz w:val="24"/>
        </w:rPr>
      </w:pPr>
      <w:r>
        <w:rPr>
          <w:rFonts w:hint="eastAsia"/>
          <w:sz w:val="24"/>
        </w:rPr>
        <w:t>1、《大气污染物综合排放标准》（GB16397—1996）；</w:t>
      </w:r>
    </w:p>
    <w:p w14:paraId="3DA23E7E">
      <w:pPr>
        <w:spacing w:line="360" w:lineRule="auto"/>
        <w:ind w:firstLine="480" w:firstLineChars="200"/>
        <w:jc w:val="left"/>
        <w:rPr>
          <w:sz w:val="24"/>
        </w:rPr>
      </w:pPr>
      <w:r>
        <w:rPr>
          <w:rFonts w:hint="eastAsia"/>
          <w:sz w:val="24"/>
        </w:rPr>
        <w:t>2、《工业企业设计卫生标准》（GBZ1—2002）；</w:t>
      </w:r>
    </w:p>
    <w:p w14:paraId="1E921F7D">
      <w:pPr>
        <w:spacing w:line="360" w:lineRule="auto"/>
        <w:ind w:firstLine="480" w:firstLineChars="200"/>
        <w:jc w:val="left"/>
        <w:rPr>
          <w:sz w:val="24"/>
        </w:rPr>
      </w:pPr>
      <w:r>
        <w:rPr>
          <w:rFonts w:hint="eastAsia"/>
          <w:sz w:val="24"/>
        </w:rPr>
        <w:t>3、《工业企业厂界噪声标准》（GB12348—90）；</w:t>
      </w:r>
    </w:p>
    <w:p w14:paraId="2A942267">
      <w:pPr>
        <w:spacing w:line="360" w:lineRule="auto"/>
        <w:ind w:firstLine="480" w:firstLineChars="200"/>
        <w:jc w:val="left"/>
        <w:rPr>
          <w:sz w:val="24"/>
        </w:rPr>
      </w:pPr>
      <w:r>
        <w:rPr>
          <w:rFonts w:hint="eastAsia"/>
          <w:sz w:val="24"/>
        </w:rPr>
        <w:t>4、《通风与空调施工质量验收规范》（GB50243—2002）；</w:t>
      </w:r>
    </w:p>
    <w:p w14:paraId="3AD4FFF3">
      <w:pPr>
        <w:spacing w:line="360" w:lineRule="auto"/>
        <w:ind w:firstLine="480" w:firstLineChars="200"/>
        <w:jc w:val="left"/>
        <w:rPr>
          <w:sz w:val="24"/>
        </w:rPr>
      </w:pPr>
      <w:r>
        <w:rPr>
          <w:rFonts w:hint="eastAsia"/>
          <w:sz w:val="24"/>
        </w:rPr>
        <w:t>5、《供电系统设计规范》（GB50052—92）。</w:t>
      </w:r>
    </w:p>
    <w:p w14:paraId="5095E68A">
      <w:pPr>
        <w:widowControl/>
        <w:adjustRightInd w:val="0"/>
        <w:spacing w:line="360" w:lineRule="auto"/>
        <w:ind w:firstLine="480" w:firstLineChars="200"/>
        <w:jc w:val="left"/>
        <w:rPr>
          <w:rFonts w:ascii="宋体" w:hAnsi="宋体"/>
          <w:kern w:val="0"/>
          <w:sz w:val="24"/>
          <w:szCs w:val="20"/>
        </w:rPr>
      </w:pPr>
      <w:r>
        <w:rPr>
          <w:rFonts w:hint="eastAsia" w:ascii="宋体" w:hAnsi="宋体"/>
          <w:kern w:val="0"/>
          <w:sz w:val="24"/>
          <w:szCs w:val="20"/>
        </w:rPr>
        <w:t>6、《工业自动化仪表工程施工及验收规范》（GBJ193-1986）</w:t>
      </w:r>
    </w:p>
    <w:p w14:paraId="3CC65FF8">
      <w:pPr>
        <w:widowControl/>
        <w:adjustRightInd w:val="0"/>
        <w:spacing w:line="360" w:lineRule="auto"/>
        <w:ind w:firstLine="480" w:firstLineChars="200"/>
        <w:jc w:val="left"/>
        <w:rPr>
          <w:rFonts w:ascii="宋体" w:hAnsi="宋体"/>
          <w:kern w:val="0"/>
          <w:sz w:val="24"/>
          <w:szCs w:val="20"/>
        </w:rPr>
      </w:pPr>
      <w:r>
        <w:rPr>
          <w:rFonts w:hint="eastAsia" w:ascii="宋体" w:hAnsi="宋体"/>
          <w:kern w:val="0"/>
          <w:sz w:val="24"/>
          <w:szCs w:val="20"/>
        </w:rPr>
        <w:t>7、《电气装置安装工程低压电器施工及验收规范》（GB50254-1996）</w:t>
      </w:r>
    </w:p>
    <w:p w14:paraId="2C7ABD53">
      <w:pPr>
        <w:widowControl/>
        <w:adjustRightInd w:val="0"/>
        <w:spacing w:line="360" w:lineRule="auto"/>
        <w:ind w:firstLine="480" w:firstLineChars="200"/>
        <w:jc w:val="left"/>
        <w:rPr>
          <w:rFonts w:ascii="宋体" w:hAnsi="宋体"/>
          <w:kern w:val="0"/>
          <w:sz w:val="24"/>
          <w:szCs w:val="20"/>
        </w:rPr>
      </w:pPr>
      <w:r>
        <w:rPr>
          <w:rFonts w:hint="eastAsia" w:ascii="宋体" w:hAnsi="宋体"/>
          <w:kern w:val="0"/>
          <w:sz w:val="24"/>
          <w:szCs w:val="20"/>
        </w:rPr>
        <w:t>8、《机械设备安装工程施工及验收通用规范》（GB50231-98）</w:t>
      </w:r>
    </w:p>
    <w:p w14:paraId="7F200E6E">
      <w:pPr>
        <w:widowControl/>
        <w:adjustRightInd w:val="0"/>
        <w:spacing w:line="360" w:lineRule="auto"/>
        <w:ind w:firstLine="480" w:firstLineChars="200"/>
        <w:jc w:val="left"/>
        <w:rPr>
          <w:rFonts w:ascii="宋体" w:hAnsi="宋体"/>
          <w:kern w:val="0"/>
          <w:sz w:val="24"/>
          <w:szCs w:val="20"/>
        </w:rPr>
      </w:pPr>
      <w:r>
        <w:rPr>
          <w:rFonts w:hint="eastAsia" w:ascii="宋体" w:hAnsi="宋体"/>
          <w:kern w:val="0"/>
          <w:sz w:val="24"/>
          <w:szCs w:val="20"/>
        </w:rPr>
        <w:t>9、《建筑设计防火规范》（</w:t>
      </w:r>
      <w:r>
        <w:rPr>
          <w:rFonts w:ascii="宋体" w:hAnsi="宋体"/>
          <w:kern w:val="0"/>
          <w:sz w:val="24"/>
          <w:szCs w:val="20"/>
        </w:rPr>
        <w:t>GB50016-2014</w:t>
      </w:r>
      <w:r>
        <w:rPr>
          <w:rFonts w:hint="eastAsia" w:ascii="宋体" w:hAnsi="宋体"/>
          <w:kern w:val="0"/>
          <w:sz w:val="24"/>
          <w:szCs w:val="20"/>
        </w:rPr>
        <w:t>）</w:t>
      </w:r>
    </w:p>
    <w:p w14:paraId="2A59FAC5">
      <w:pPr>
        <w:widowControl/>
        <w:adjustRightInd w:val="0"/>
        <w:spacing w:line="360" w:lineRule="auto"/>
        <w:ind w:firstLine="480" w:firstLineChars="200"/>
        <w:jc w:val="left"/>
        <w:rPr>
          <w:rFonts w:ascii="宋体" w:hAnsi="宋体" w:cs="宋体"/>
          <w:sz w:val="24"/>
        </w:rPr>
      </w:pPr>
      <w:r>
        <w:rPr>
          <w:rFonts w:hint="eastAsia" w:ascii="宋体" w:hAnsi="宋体" w:cs="宋体"/>
          <w:sz w:val="24"/>
        </w:rPr>
        <w:t>10、《食品安全国家标准  食品生产通用卫生规范》  GB14881-2013</w:t>
      </w:r>
    </w:p>
    <w:p w14:paraId="2FF580D6">
      <w:pPr>
        <w:spacing w:after="120" w:afterLines="50"/>
        <w:ind w:left="420" w:leftChars="200"/>
        <w:jc w:val="left"/>
        <w:rPr>
          <w:rFonts w:ascii="宋体" w:hAnsi="宋体" w:cs="宋体"/>
          <w:sz w:val="24"/>
        </w:rPr>
      </w:pPr>
      <w:r>
        <w:rPr>
          <w:rFonts w:hint="eastAsia" w:ascii="宋体" w:hAnsi="宋体" w:cs="宋体"/>
          <w:sz w:val="24"/>
        </w:rPr>
        <w:t>11、《工业管道工程施工及验收规范》  （GBJ235-82）</w:t>
      </w:r>
    </w:p>
    <w:p w14:paraId="507BFF10">
      <w:pPr>
        <w:spacing w:after="120" w:afterLines="50"/>
        <w:ind w:left="420" w:leftChars="200"/>
        <w:jc w:val="left"/>
        <w:rPr>
          <w:rFonts w:ascii="宋体" w:hAnsi="宋体" w:cs="宋体"/>
          <w:sz w:val="24"/>
        </w:rPr>
      </w:pPr>
      <w:r>
        <w:rPr>
          <w:rFonts w:hint="eastAsia" w:ascii="宋体" w:hAnsi="宋体" w:cs="宋体"/>
          <w:sz w:val="24"/>
        </w:rPr>
        <w:t>12、《除尘设备选用与安装》  07K104</w:t>
      </w:r>
    </w:p>
    <w:p w14:paraId="3C18446D">
      <w:pPr>
        <w:spacing w:after="120" w:afterLines="50"/>
        <w:ind w:left="420" w:leftChars="200"/>
        <w:jc w:val="left"/>
        <w:rPr>
          <w:rFonts w:ascii="宋体" w:hAnsi="宋体" w:cs="宋体"/>
          <w:sz w:val="24"/>
        </w:rPr>
      </w:pPr>
      <w:r>
        <w:rPr>
          <w:rFonts w:hint="eastAsia" w:ascii="宋体" w:hAnsi="宋体" w:cs="宋体"/>
          <w:sz w:val="24"/>
        </w:rPr>
        <w:t>13、《金属、非金属风管支吊架》08K132</w:t>
      </w:r>
    </w:p>
    <w:p w14:paraId="3E2C1ACE">
      <w:pPr>
        <w:spacing w:after="120" w:afterLines="50"/>
        <w:ind w:left="420" w:leftChars="200"/>
        <w:jc w:val="left"/>
        <w:rPr>
          <w:rFonts w:ascii="宋体" w:hAnsi="宋体" w:cs="宋体"/>
          <w:sz w:val="24"/>
        </w:rPr>
      </w:pPr>
      <w:r>
        <w:rPr>
          <w:rFonts w:hint="eastAsia" w:ascii="宋体" w:hAnsi="宋体" w:cs="宋体"/>
          <w:sz w:val="24"/>
        </w:rPr>
        <w:t>14、《工作场所有害因素职业接触限值 第一部分：化学有害因素》  GBZ2.1-2007</w:t>
      </w:r>
    </w:p>
    <w:p w14:paraId="1D333F12">
      <w:pPr>
        <w:spacing w:after="120" w:afterLines="50"/>
        <w:ind w:firstLine="360" w:firstLineChars="150"/>
        <w:jc w:val="left"/>
        <w:rPr>
          <w:rFonts w:ascii="宋体" w:hAnsi="宋体" w:cs="宋体"/>
          <w:sz w:val="24"/>
        </w:rPr>
      </w:pPr>
      <w:r>
        <w:rPr>
          <w:rFonts w:hint="eastAsia" w:ascii="宋体" w:hAnsi="宋体" w:cs="宋体"/>
          <w:sz w:val="24"/>
        </w:rPr>
        <w:t>业主的要求和其他专业提供的设计资料</w:t>
      </w:r>
    </w:p>
    <w:p w14:paraId="3BCE6AA3">
      <w:pPr>
        <w:spacing w:before="120" w:beforeLines="50" w:after="120" w:afterLines="50" w:line="360" w:lineRule="auto"/>
        <w:rPr>
          <w:rFonts w:ascii="宋体" w:hAnsi="宋体" w:cs="宋体"/>
          <w:b/>
          <w:bCs/>
          <w:sz w:val="24"/>
        </w:rPr>
      </w:pPr>
      <w:bookmarkStart w:id="7" w:name="_Toc270430087"/>
      <w:r>
        <w:rPr>
          <w:rFonts w:hint="eastAsia" w:ascii="宋体" w:hAnsi="宋体" w:cs="宋体"/>
          <w:b/>
          <w:bCs/>
          <w:sz w:val="24"/>
        </w:rPr>
        <w:t>3、设计基础</w:t>
      </w:r>
    </w:p>
    <w:p w14:paraId="1EA9EFD1">
      <w:pPr>
        <w:spacing w:after="120" w:afterLines="50" w:line="360" w:lineRule="auto"/>
        <w:ind w:firstLine="240" w:firstLineChars="100"/>
        <w:rPr>
          <w:rFonts w:ascii="宋体" w:hAnsi="宋体" w:cs="宋体"/>
          <w:bCs/>
          <w:sz w:val="24"/>
        </w:rPr>
      </w:pPr>
      <w:r>
        <w:rPr>
          <w:rFonts w:hint="eastAsia" w:ascii="宋体" w:hAnsi="宋体" w:cs="宋体"/>
          <w:bCs/>
          <w:sz w:val="24"/>
        </w:rPr>
        <w:t>1.气象条件</w:t>
      </w:r>
    </w:p>
    <w:bookmarkEnd w:id="7"/>
    <w:p w14:paraId="5BDDA6E0">
      <w:pPr>
        <w:spacing w:after="120" w:afterLines="50" w:line="360" w:lineRule="auto"/>
        <w:ind w:left="424" w:leftChars="202" w:firstLine="240" w:firstLineChars="100"/>
        <w:rPr>
          <w:rFonts w:ascii="宋体" w:hAnsi="宋体" w:cs="宋体"/>
          <w:sz w:val="24"/>
        </w:rPr>
      </w:pPr>
      <w:bookmarkStart w:id="8" w:name="_Toc224442943"/>
      <w:bookmarkStart w:id="9" w:name="_Toc314229541"/>
      <w:bookmarkStart w:id="10" w:name="_Toc245724958"/>
      <w:bookmarkStart w:id="11" w:name="_Toc381464276"/>
      <w:bookmarkStart w:id="12" w:name="_Toc223800701"/>
      <w:r>
        <w:rPr>
          <w:rFonts w:hint="eastAsia" w:ascii="宋体" w:hAnsi="宋体" w:cs="宋体"/>
          <w:sz w:val="24"/>
        </w:rPr>
        <w:t>湘澧盐化有限责任公司所在区域属中亚热带季风湿润气候区，具有热量丰富，无霜期长，光照充足，雨量充沛，气温垂直差异明显，气候要素时空分布不均等特点。</w:t>
      </w:r>
    </w:p>
    <w:p w14:paraId="483DFE18">
      <w:pPr>
        <w:spacing w:after="120" w:afterLines="50" w:line="360" w:lineRule="auto"/>
        <w:ind w:left="425" w:firstLine="555"/>
        <w:rPr>
          <w:rFonts w:ascii="宋体" w:hAnsi="宋体" w:cs="宋体"/>
          <w:sz w:val="24"/>
        </w:rPr>
      </w:pPr>
      <w:r>
        <w:rPr>
          <w:rFonts w:hint="eastAsia" w:ascii="宋体" w:hAnsi="宋体" w:cs="宋体"/>
          <w:sz w:val="24"/>
        </w:rPr>
        <w:t>夏季通风室外计算温度：                  31.9℃</w:t>
      </w:r>
    </w:p>
    <w:p w14:paraId="5E03F4C4">
      <w:pPr>
        <w:spacing w:after="120" w:afterLines="50" w:line="360" w:lineRule="auto"/>
        <w:ind w:left="425" w:firstLine="555"/>
        <w:rPr>
          <w:rFonts w:ascii="宋体" w:hAnsi="宋体" w:cs="宋体"/>
          <w:sz w:val="24"/>
        </w:rPr>
      </w:pPr>
      <w:r>
        <w:rPr>
          <w:rFonts w:hint="eastAsia" w:ascii="宋体" w:hAnsi="宋体" w:cs="宋体"/>
          <w:sz w:val="24"/>
        </w:rPr>
        <w:t>夏季室外平均风速                        1.9m/s</w:t>
      </w:r>
    </w:p>
    <w:p w14:paraId="4C317F92">
      <w:pPr>
        <w:spacing w:after="120" w:afterLines="50" w:line="360" w:lineRule="auto"/>
        <w:ind w:left="425" w:firstLine="555"/>
        <w:rPr>
          <w:rFonts w:ascii="宋体" w:hAnsi="宋体" w:cs="宋体"/>
          <w:sz w:val="24"/>
        </w:rPr>
      </w:pPr>
      <w:r>
        <w:rPr>
          <w:rFonts w:hint="eastAsia" w:ascii="宋体" w:hAnsi="宋体" w:cs="宋体"/>
          <w:sz w:val="24"/>
        </w:rPr>
        <w:t>夏季室外大气压力：                      1000.8hpa</w:t>
      </w:r>
    </w:p>
    <w:p w14:paraId="118A3CB4">
      <w:pPr>
        <w:spacing w:after="120" w:afterLines="50" w:line="360" w:lineRule="auto"/>
        <w:ind w:left="425" w:firstLine="555"/>
        <w:rPr>
          <w:rFonts w:ascii="宋体" w:hAnsi="宋体" w:cs="宋体"/>
          <w:sz w:val="24"/>
        </w:rPr>
      </w:pPr>
      <w:r>
        <w:rPr>
          <w:rFonts w:hint="eastAsia" w:ascii="宋体" w:hAnsi="宋体" w:cs="宋体"/>
          <w:sz w:val="24"/>
        </w:rPr>
        <w:t>冬季通风室外计算温度：                  4.7℃</w:t>
      </w:r>
    </w:p>
    <w:p w14:paraId="76685A06">
      <w:pPr>
        <w:spacing w:after="120" w:afterLines="50" w:line="360" w:lineRule="auto"/>
        <w:ind w:left="425" w:firstLine="555"/>
        <w:rPr>
          <w:rFonts w:ascii="宋体" w:hAnsi="宋体" w:cs="宋体"/>
          <w:sz w:val="24"/>
        </w:rPr>
      </w:pPr>
      <w:r>
        <w:rPr>
          <w:rFonts w:hint="eastAsia" w:ascii="宋体" w:hAnsi="宋体" w:cs="宋体"/>
          <w:sz w:val="24"/>
        </w:rPr>
        <w:t>冬季室外平均风速                        1.6m/s</w:t>
      </w:r>
    </w:p>
    <w:p w14:paraId="2E1EE5AD">
      <w:pPr>
        <w:spacing w:after="120" w:afterLines="50" w:line="360" w:lineRule="auto"/>
        <w:ind w:left="425" w:firstLine="555"/>
        <w:rPr>
          <w:rFonts w:ascii="宋体" w:hAnsi="宋体" w:cs="宋体"/>
          <w:sz w:val="24"/>
        </w:rPr>
      </w:pPr>
      <w:r>
        <w:rPr>
          <w:rFonts w:hint="eastAsia" w:ascii="宋体" w:hAnsi="宋体" w:cs="宋体"/>
          <w:sz w:val="24"/>
        </w:rPr>
        <w:t>冬季室外大气压力：                      1022.3hpa</w:t>
      </w:r>
    </w:p>
    <w:p w14:paraId="18FB5D8B">
      <w:pPr>
        <w:spacing w:after="120" w:afterLines="50" w:line="360" w:lineRule="auto"/>
        <w:ind w:left="425" w:firstLine="555"/>
        <w:rPr>
          <w:rFonts w:ascii="宋体" w:hAnsi="宋体" w:cs="宋体"/>
          <w:sz w:val="24"/>
        </w:rPr>
      </w:pPr>
      <w:r>
        <w:rPr>
          <w:rFonts w:hint="eastAsia" w:ascii="宋体" w:hAnsi="宋体" w:cs="宋体"/>
          <w:sz w:val="24"/>
        </w:rPr>
        <w:t>安装位置：湖南省湘澧盐化有限责任公司包装厂顶层。</w:t>
      </w:r>
    </w:p>
    <w:p w14:paraId="56E23E0C">
      <w:pPr>
        <w:spacing w:after="120" w:afterLines="50" w:line="360" w:lineRule="auto"/>
        <w:ind w:left="425" w:firstLine="555"/>
        <w:rPr>
          <w:rFonts w:ascii="宋体" w:hAnsi="宋体" w:cs="宋体"/>
          <w:sz w:val="24"/>
        </w:rPr>
      </w:pPr>
      <w:r>
        <w:rPr>
          <w:rFonts w:hint="eastAsia" w:ascii="宋体" w:hAnsi="宋体" w:cs="宋体"/>
          <w:sz w:val="24"/>
        </w:rPr>
        <w:t>运行方式：连续运行</w:t>
      </w:r>
    </w:p>
    <w:p w14:paraId="6A8FD8DB">
      <w:pPr>
        <w:spacing w:after="120" w:afterLines="50" w:line="360" w:lineRule="auto"/>
        <w:ind w:firstLine="240" w:firstLineChars="100"/>
        <w:rPr>
          <w:rFonts w:ascii="宋体" w:hAnsi="宋体" w:cs="宋体"/>
          <w:kern w:val="0"/>
          <w:sz w:val="24"/>
        </w:rPr>
      </w:pPr>
      <w:r>
        <w:rPr>
          <w:rFonts w:hint="eastAsia" w:ascii="宋体" w:hAnsi="宋体" w:cs="宋体"/>
          <w:kern w:val="0"/>
          <w:sz w:val="24"/>
        </w:rPr>
        <w:t>2.共用设施</w:t>
      </w:r>
      <w:bookmarkEnd w:id="8"/>
      <w:bookmarkEnd w:id="9"/>
      <w:bookmarkEnd w:id="10"/>
      <w:bookmarkEnd w:id="11"/>
      <w:bookmarkEnd w:id="12"/>
      <w:r>
        <w:rPr>
          <w:rFonts w:hint="eastAsia" w:ascii="宋体" w:hAnsi="宋体" w:cs="宋体"/>
          <w:kern w:val="0"/>
          <w:sz w:val="24"/>
        </w:rPr>
        <w:t>：</w:t>
      </w:r>
    </w:p>
    <w:p w14:paraId="1F6A0AD4">
      <w:pPr>
        <w:spacing w:after="120" w:afterLines="50" w:line="360" w:lineRule="auto"/>
        <w:ind w:firstLine="480" w:firstLineChars="200"/>
        <w:rPr>
          <w:rFonts w:ascii="宋体" w:hAnsi="宋体" w:cs="宋体"/>
          <w:sz w:val="24"/>
        </w:rPr>
      </w:pPr>
      <w:r>
        <w:rPr>
          <w:rFonts w:hint="eastAsia" w:ascii="宋体" w:hAnsi="宋体" w:cs="宋体"/>
          <w:sz w:val="24"/>
        </w:rPr>
        <w:t>动力电源：AC 220V/380V，50Hz，三相五线制电压波动：±5%</w:t>
      </w:r>
    </w:p>
    <w:p w14:paraId="51E0BBE1">
      <w:pPr>
        <w:spacing w:after="120" w:afterLines="50" w:line="360" w:lineRule="auto"/>
        <w:ind w:left="425"/>
        <w:rPr>
          <w:rFonts w:ascii="宋体" w:hAnsi="宋体" w:cs="宋体"/>
          <w:sz w:val="24"/>
        </w:rPr>
      </w:pPr>
      <w:r>
        <w:rPr>
          <w:rFonts w:hint="eastAsia" w:ascii="宋体" w:hAnsi="宋体" w:cs="宋体"/>
          <w:sz w:val="24"/>
        </w:rPr>
        <w:t>频率波动：接地电阻：&lt;1Ω</w:t>
      </w:r>
      <w:bookmarkStart w:id="13" w:name="_Toc213730166"/>
      <w:bookmarkStart w:id="14" w:name="_Toc314229542"/>
      <w:bookmarkStart w:id="15" w:name="_Toc177265130"/>
      <w:bookmarkStart w:id="16" w:name="_Toc193802032"/>
      <w:bookmarkStart w:id="17" w:name="_Toc197767767"/>
      <w:bookmarkStart w:id="18" w:name="_Toc245724959"/>
      <w:bookmarkStart w:id="19" w:name="_Toc197771856"/>
      <w:bookmarkStart w:id="20" w:name="_Toc381464277"/>
      <w:bookmarkStart w:id="21" w:name="_Toc211754695"/>
      <w:bookmarkStart w:id="22" w:name="_Toc224442944"/>
      <w:bookmarkStart w:id="23" w:name="_Toc223800702"/>
      <w:bookmarkStart w:id="24" w:name="_Toc193801179"/>
    </w:p>
    <w:bookmarkEnd w:id="13"/>
    <w:bookmarkEnd w:id="14"/>
    <w:bookmarkEnd w:id="15"/>
    <w:bookmarkEnd w:id="16"/>
    <w:bookmarkEnd w:id="17"/>
    <w:bookmarkEnd w:id="18"/>
    <w:bookmarkEnd w:id="19"/>
    <w:bookmarkEnd w:id="20"/>
    <w:bookmarkEnd w:id="21"/>
    <w:bookmarkEnd w:id="22"/>
    <w:bookmarkEnd w:id="23"/>
    <w:bookmarkEnd w:id="24"/>
    <w:p w14:paraId="0C40E4F7">
      <w:pPr>
        <w:spacing w:after="120" w:afterLines="50" w:line="360" w:lineRule="auto"/>
        <w:ind w:firstLine="480" w:firstLineChars="200"/>
        <w:rPr>
          <w:rFonts w:ascii="宋体" w:hAnsi="宋体" w:cs="宋体"/>
          <w:sz w:val="24"/>
        </w:rPr>
      </w:pPr>
      <w:r>
        <w:rPr>
          <w:rFonts w:hint="eastAsia" w:ascii="宋体" w:hAnsi="宋体" w:cs="宋体"/>
          <w:kern w:val="0"/>
          <w:sz w:val="24"/>
        </w:rPr>
        <w:t>系统供水：</w:t>
      </w:r>
      <w:r>
        <w:rPr>
          <w:rFonts w:hint="eastAsia" w:ascii="宋体" w:hAnsi="宋体" w:cs="宋体"/>
          <w:sz w:val="24"/>
        </w:rPr>
        <w:t>供给压力：0.1MPa－0.3MPa（G）</w:t>
      </w:r>
    </w:p>
    <w:p w14:paraId="0DF954E5">
      <w:pPr>
        <w:spacing w:after="120" w:afterLines="50" w:line="360" w:lineRule="auto"/>
        <w:ind w:firstLine="240" w:firstLineChars="100"/>
        <w:rPr>
          <w:rFonts w:ascii="宋体" w:hAnsi="宋体" w:cs="宋体"/>
          <w:kern w:val="0"/>
          <w:sz w:val="24"/>
        </w:rPr>
      </w:pPr>
      <w:r>
        <w:rPr>
          <w:rFonts w:hint="eastAsia" w:ascii="宋体" w:hAnsi="宋体" w:cs="宋体"/>
          <w:kern w:val="0"/>
          <w:sz w:val="24"/>
        </w:rPr>
        <w:t>3.物料特性：</w:t>
      </w:r>
    </w:p>
    <w:p w14:paraId="13F269A6">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物料名称： NaCl粉尘</w:t>
      </w:r>
    </w:p>
    <w:p w14:paraId="5B88BFDA">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堆积密度： 约1.50t/m</w:t>
      </w:r>
      <w:r>
        <w:rPr>
          <w:rFonts w:hint="eastAsia" w:ascii="宋体" w:hAnsi="宋体" w:cs="宋体"/>
          <w:kern w:val="0"/>
          <w:sz w:val="24"/>
          <w:vertAlign w:val="superscript"/>
        </w:rPr>
        <w:t>3</w:t>
      </w:r>
    </w:p>
    <w:p w14:paraId="7459FFF4">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安 息 角：＜40°</w:t>
      </w:r>
    </w:p>
    <w:p w14:paraId="69FC33BC">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物料温度：60</w:t>
      </w:r>
      <w:r>
        <w:rPr>
          <w:rFonts w:hint="eastAsia" w:ascii="宋体" w:hAnsi="宋体" w:cs="宋体"/>
          <w:kern w:val="0"/>
          <w:sz w:val="24"/>
          <w:vertAlign w:val="superscript"/>
        </w:rPr>
        <w:t>0</w:t>
      </w:r>
      <w:r>
        <w:rPr>
          <w:rFonts w:hint="eastAsia" w:ascii="宋体" w:hAnsi="宋体" w:cs="宋体"/>
          <w:kern w:val="0"/>
          <w:sz w:val="24"/>
        </w:rPr>
        <w:t>C</w:t>
      </w:r>
      <w:r>
        <w:rPr>
          <w:rFonts w:hint="eastAsia" w:ascii="宋体" w:hAnsi="宋体" w:cs="宋体"/>
          <w:sz w:val="24"/>
        </w:rPr>
        <w:t>＜</w:t>
      </w:r>
      <w:r>
        <w:rPr>
          <w:rFonts w:hint="eastAsia" w:ascii="宋体" w:hAnsi="宋体" w:cs="宋体"/>
          <w:kern w:val="0"/>
          <w:sz w:val="24"/>
        </w:rPr>
        <w:t>t</w:t>
      </w:r>
      <w:r>
        <w:rPr>
          <w:rFonts w:hint="eastAsia" w:ascii="宋体" w:hAnsi="宋体" w:cs="宋体"/>
          <w:sz w:val="24"/>
        </w:rPr>
        <w:t>＜70</w:t>
      </w:r>
      <w:r>
        <w:rPr>
          <w:rFonts w:hint="eastAsia" w:ascii="宋体" w:hAnsi="宋体" w:cs="宋体"/>
          <w:kern w:val="0"/>
          <w:sz w:val="24"/>
          <w:vertAlign w:val="superscript"/>
        </w:rPr>
        <w:t>0</w:t>
      </w:r>
      <w:r>
        <w:rPr>
          <w:rFonts w:hint="eastAsia" w:ascii="宋体" w:hAnsi="宋体" w:cs="宋体"/>
          <w:kern w:val="0"/>
          <w:sz w:val="24"/>
        </w:rPr>
        <w:t>C</w:t>
      </w:r>
    </w:p>
    <w:p w14:paraId="21DA06EE">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粉尘粒度：1~100</w:t>
      </w:r>
      <w:r>
        <w:rPr>
          <w:rFonts w:hint="eastAsia" w:ascii="宋体" w:hAnsi="宋体" w:cs="宋体"/>
          <w:sz w:val="24"/>
        </w:rPr>
        <w:t>μ</w:t>
      </w:r>
      <w:r>
        <w:rPr>
          <w:rFonts w:hint="eastAsia" w:ascii="宋体" w:hAnsi="宋体" w:cs="宋体"/>
          <w:kern w:val="0"/>
          <w:sz w:val="24"/>
        </w:rPr>
        <w:t xml:space="preserve">m </w:t>
      </w:r>
    </w:p>
    <w:p w14:paraId="32152E5D">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毒　  性：无</w:t>
      </w:r>
    </w:p>
    <w:p w14:paraId="12451C46">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流 动 性：一般</w:t>
      </w:r>
    </w:p>
    <w:p w14:paraId="44A4D6C6">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腐 蚀 性：有（Cl</w:t>
      </w:r>
      <w:r>
        <w:rPr>
          <w:rFonts w:hint="eastAsia" w:ascii="宋体" w:hAnsi="宋体" w:cs="宋体"/>
          <w:kern w:val="0"/>
          <w:sz w:val="24"/>
          <w:vertAlign w:val="superscript"/>
        </w:rPr>
        <w:t>-</w:t>
      </w:r>
      <w:r>
        <w:rPr>
          <w:rFonts w:hint="eastAsia" w:ascii="宋体" w:hAnsi="宋体" w:cs="宋体"/>
          <w:kern w:val="0"/>
          <w:sz w:val="24"/>
        </w:rPr>
        <w:t>腐蚀和氧腐蚀）</w:t>
      </w:r>
    </w:p>
    <w:p w14:paraId="77CF966A">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静 电 性：有</w:t>
      </w:r>
    </w:p>
    <w:p w14:paraId="7B7BEEEB">
      <w:pPr>
        <w:tabs>
          <w:tab w:val="left" w:pos="1560"/>
        </w:tabs>
        <w:adjustRightInd w:val="0"/>
        <w:snapToGrid w:val="0"/>
        <w:spacing w:line="360" w:lineRule="auto"/>
        <w:textAlignment w:val="baseline"/>
        <w:rPr>
          <w:rFonts w:ascii="宋体" w:hAnsi="宋体" w:cs="宋体"/>
          <w:b/>
          <w:kern w:val="0"/>
          <w:sz w:val="24"/>
        </w:rPr>
      </w:pPr>
    </w:p>
    <w:p w14:paraId="140847B7">
      <w:pPr>
        <w:tabs>
          <w:tab w:val="left" w:pos="1560"/>
        </w:tabs>
        <w:adjustRightInd w:val="0"/>
        <w:snapToGrid w:val="0"/>
        <w:spacing w:line="360" w:lineRule="auto"/>
        <w:textAlignment w:val="baseline"/>
        <w:rPr>
          <w:rFonts w:ascii="宋体" w:hAnsi="宋体" w:cs="宋体"/>
          <w:b/>
          <w:kern w:val="0"/>
          <w:sz w:val="24"/>
        </w:rPr>
      </w:pPr>
      <w:r>
        <w:rPr>
          <w:rFonts w:hint="eastAsia" w:ascii="宋体" w:hAnsi="宋体" w:cs="宋体"/>
          <w:b/>
          <w:kern w:val="0"/>
          <w:sz w:val="24"/>
        </w:rPr>
        <w:t>4、系统设计原则</w:t>
      </w:r>
    </w:p>
    <w:p w14:paraId="035C97D7">
      <w:pPr>
        <w:tabs>
          <w:tab w:val="left" w:pos="1560"/>
        </w:tabs>
        <w:adjustRightInd w:val="0"/>
        <w:snapToGrid w:val="0"/>
        <w:spacing w:line="360" w:lineRule="auto"/>
        <w:ind w:firstLine="480" w:firstLineChars="200"/>
        <w:textAlignment w:val="baseline"/>
        <w:rPr>
          <w:sz w:val="24"/>
        </w:rPr>
      </w:pPr>
      <w:r>
        <w:rPr>
          <w:rFonts w:hint="eastAsia" w:ascii="宋体" w:hAnsi="宋体"/>
          <w:sz w:val="24"/>
        </w:rPr>
        <w:t>1.设计必须既要有充分的理论计算依据，又要有可靠的实践经验可以参考</w:t>
      </w:r>
      <w:r>
        <w:rPr>
          <w:rFonts w:hint="eastAsia"/>
          <w:sz w:val="24"/>
        </w:rPr>
        <w:t>。</w:t>
      </w:r>
    </w:p>
    <w:p w14:paraId="0966184C">
      <w:pPr>
        <w:spacing w:line="360" w:lineRule="auto"/>
        <w:ind w:firstLine="480" w:firstLineChars="200"/>
        <w:rPr>
          <w:rFonts w:ascii="宋体" w:hAnsi="宋体"/>
          <w:sz w:val="24"/>
        </w:rPr>
      </w:pPr>
      <w:r>
        <w:rPr>
          <w:rFonts w:hint="eastAsia" w:ascii="宋体" w:hAnsi="宋体"/>
          <w:sz w:val="24"/>
        </w:rPr>
        <w:t>2.设计必须针对工程的特定条件，满足生产工艺要求，决不能简单照搬其他的除尘模式。</w:t>
      </w:r>
    </w:p>
    <w:p w14:paraId="602307C3">
      <w:pPr>
        <w:spacing w:line="360" w:lineRule="auto"/>
        <w:ind w:firstLine="480" w:firstLineChars="200"/>
        <w:rPr>
          <w:rFonts w:ascii="宋体" w:hAnsi="宋体"/>
          <w:sz w:val="24"/>
        </w:rPr>
      </w:pPr>
      <w:r>
        <w:rPr>
          <w:rFonts w:hint="eastAsia" w:ascii="宋体" w:hAnsi="宋体"/>
          <w:sz w:val="24"/>
        </w:rPr>
        <w:t>3.设计方案必须兼顾现有工艺，尽量以质量为前提减少投资费用。</w:t>
      </w:r>
    </w:p>
    <w:p w14:paraId="7F767BDA">
      <w:pPr>
        <w:spacing w:line="360" w:lineRule="auto"/>
        <w:ind w:firstLine="480" w:firstLineChars="200"/>
        <w:rPr>
          <w:rFonts w:ascii="宋体" w:hAnsi="宋体"/>
          <w:sz w:val="24"/>
        </w:rPr>
      </w:pPr>
      <w:r>
        <w:rPr>
          <w:rFonts w:hint="eastAsia" w:ascii="宋体" w:hAnsi="宋体"/>
          <w:sz w:val="24"/>
        </w:rPr>
        <w:t>4.不妨碍工艺生产，系统设备长期运行稳定、可靠。</w:t>
      </w:r>
    </w:p>
    <w:p w14:paraId="5F20EA0E">
      <w:pPr>
        <w:spacing w:line="360" w:lineRule="auto"/>
        <w:ind w:firstLine="480" w:firstLineChars="200"/>
        <w:rPr>
          <w:sz w:val="24"/>
        </w:rPr>
      </w:pPr>
      <w:r>
        <w:rPr>
          <w:rFonts w:hint="eastAsia" w:ascii="宋体" w:hAnsi="宋体"/>
          <w:sz w:val="24"/>
        </w:rPr>
        <w:t>5.与物料接触的</w:t>
      </w:r>
      <w:r>
        <w:rPr>
          <w:rFonts w:hint="eastAsia"/>
          <w:sz w:val="24"/>
        </w:rPr>
        <w:t>材料均采用316L不锈钢制作，操作平台支架采用304材质，平台为FRP材料，溶解水槽和排放水管采用增强聚丙烯材料。</w:t>
      </w:r>
    </w:p>
    <w:p w14:paraId="10614C74">
      <w:pPr>
        <w:spacing w:line="360" w:lineRule="auto"/>
        <w:ind w:firstLine="480" w:firstLineChars="200"/>
        <w:rPr>
          <w:sz w:val="24"/>
        </w:rPr>
      </w:pPr>
      <w:r>
        <w:rPr>
          <w:rFonts w:hint="eastAsia" w:ascii="宋体" w:hAnsi="宋体"/>
          <w:sz w:val="24"/>
        </w:rPr>
        <w:t>6.</w:t>
      </w:r>
      <w:r>
        <w:rPr>
          <w:rFonts w:hint="eastAsia"/>
          <w:sz w:val="24"/>
        </w:rPr>
        <w:t>系统操作和管理方便，维修简易及降底劳动强度。</w:t>
      </w:r>
    </w:p>
    <w:p w14:paraId="56F093BE">
      <w:pPr>
        <w:spacing w:line="360" w:lineRule="auto"/>
        <w:ind w:firstLine="480" w:firstLineChars="200"/>
        <w:rPr>
          <w:sz w:val="24"/>
        </w:rPr>
      </w:pPr>
      <w:r>
        <w:rPr>
          <w:rFonts w:hint="eastAsia"/>
          <w:sz w:val="24"/>
        </w:rPr>
        <w:t>7. 该项工程设计尽量考虑节省工程投资，确保处理效果，达到长期运行之目的，并使项目早日投产。</w:t>
      </w:r>
    </w:p>
    <w:p w14:paraId="1FCAAC41">
      <w:pPr>
        <w:spacing w:line="360" w:lineRule="auto"/>
        <w:rPr>
          <w:b/>
          <w:bCs/>
          <w:sz w:val="24"/>
        </w:rPr>
      </w:pPr>
    </w:p>
    <w:p w14:paraId="7CEF3510">
      <w:pPr>
        <w:spacing w:line="360" w:lineRule="auto"/>
        <w:rPr>
          <w:b/>
          <w:bCs/>
          <w:sz w:val="24"/>
        </w:rPr>
      </w:pPr>
      <w:r>
        <w:rPr>
          <w:rFonts w:hint="eastAsia"/>
          <w:b/>
          <w:bCs/>
          <w:sz w:val="24"/>
        </w:rPr>
        <w:t>5、设计指标</w:t>
      </w:r>
    </w:p>
    <w:p w14:paraId="590A2323">
      <w:pPr>
        <w:spacing w:line="360" w:lineRule="auto"/>
        <w:ind w:firstLine="480" w:firstLineChars="200"/>
        <w:rPr>
          <w:rFonts w:ascii="宋体" w:hAnsi="宋体"/>
          <w:sz w:val="24"/>
        </w:rPr>
      </w:pPr>
      <w:r>
        <w:rPr>
          <w:rFonts w:hint="eastAsia" w:ascii="宋体" w:hAnsi="宋体"/>
          <w:sz w:val="24"/>
        </w:rPr>
        <w:t>1.粉尘出口排放浓度：　　　≤10mg/m</w:t>
      </w:r>
      <w:r>
        <w:rPr>
          <w:rFonts w:hint="eastAsia" w:ascii="宋体" w:hAnsi="宋体"/>
          <w:sz w:val="24"/>
          <w:vertAlign w:val="superscript"/>
        </w:rPr>
        <w:t>3</w:t>
      </w:r>
    </w:p>
    <w:p w14:paraId="75E7862F">
      <w:pPr>
        <w:spacing w:line="360" w:lineRule="auto"/>
        <w:ind w:firstLine="480" w:firstLineChars="200"/>
        <w:rPr>
          <w:rFonts w:ascii="宋体" w:hAnsi="宋体"/>
          <w:sz w:val="24"/>
        </w:rPr>
      </w:pPr>
      <w:r>
        <w:rPr>
          <w:rFonts w:hint="eastAsia" w:ascii="宋体" w:hAnsi="宋体"/>
          <w:sz w:val="24"/>
        </w:rPr>
        <w:t>2.漏风率：　　　　　　　　≤2%</w:t>
      </w:r>
    </w:p>
    <w:p w14:paraId="4550E22A">
      <w:pPr>
        <w:spacing w:line="360" w:lineRule="auto"/>
        <w:ind w:firstLine="480" w:firstLineChars="200"/>
        <w:rPr>
          <w:rFonts w:ascii="宋体" w:hAnsi="宋体"/>
          <w:sz w:val="24"/>
        </w:rPr>
      </w:pPr>
      <w:r>
        <w:rPr>
          <w:rFonts w:hint="eastAsia" w:ascii="宋体" w:hAnsi="宋体"/>
          <w:sz w:val="24"/>
        </w:rPr>
        <w:t>3.设备阻力　　　　　　　　＜1800Pa</w:t>
      </w:r>
    </w:p>
    <w:p w14:paraId="1BEB6AF2">
      <w:pPr>
        <w:spacing w:line="360" w:lineRule="auto"/>
        <w:rPr>
          <w:rFonts w:ascii="宋体" w:hAnsi="宋体"/>
          <w:b/>
          <w:sz w:val="24"/>
        </w:rPr>
      </w:pPr>
    </w:p>
    <w:p w14:paraId="22C569E4">
      <w:pPr>
        <w:spacing w:line="360" w:lineRule="auto"/>
        <w:rPr>
          <w:rFonts w:ascii="宋体" w:hAnsi="宋体"/>
          <w:b/>
          <w:sz w:val="24"/>
        </w:rPr>
      </w:pPr>
      <w:r>
        <w:rPr>
          <w:rFonts w:hint="eastAsia" w:ascii="宋体" w:hAnsi="宋体"/>
          <w:b/>
          <w:sz w:val="24"/>
        </w:rPr>
        <w:t>6、设备设计标准</w:t>
      </w:r>
    </w:p>
    <w:p w14:paraId="74533913">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GBJ17    </w:t>
      </w:r>
      <w:r>
        <w:rPr>
          <w:rFonts w:hint="eastAsia" w:ascii="宋体" w:hAnsi="宋体"/>
          <w:sz w:val="24"/>
        </w:rPr>
        <w:t>《钢结构设计规范》</w:t>
      </w:r>
    </w:p>
    <w:p w14:paraId="288A788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GBJ87    </w:t>
      </w:r>
      <w:r>
        <w:rPr>
          <w:rFonts w:hint="eastAsia" w:ascii="宋体" w:hAnsi="宋体"/>
          <w:sz w:val="24"/>
        </w:rPr>
        <w:t>《工业噪声控制设计标准》</w:t>
      </w:r>
    </w:p>
    <w:p w14:paraId="2D66B7AE">
      <w:pPr>
        <w:spacing w:line="360" w:lineRule="auto"/>
        <w:ind w:firstLine="480" w:firstLineChars="200"/>
        <w:rPr>
          <w:rFonts w:ascii="宋体" w:hAnsi="宋体"/>
          <w:sz w:val="24"/>
        </w:rPr>
      </w:pPr>
      <w:r>
        <w:rPr>
          <w:rFonts w:hint="eastAsia" w:ascii="宋体" w:hAnsi="宋体"/>
          <w:sz w:val="24"/>
        </w:rPr>
        <w:t>3）</w:t>
      </w:r>
      <w:r>
        <w:rPr>
          <w:rFonts w:ascii="宋体" w:hAnsi="宋体"/>
          <w:sz w:val="24"/>
        </w:rPr>
        <w:t xml:space="preserve">GBJ253    </w:t>
      </w:r>
      <w:r>
        <w:rPr>
          <w:rFonts w:hint="eastAsia" w:ascii="宋体" w:hAnsi="宋体"/>
          <w:sz w:val="24"/>
        </w:rPr>
        <w:t>《工业管道施工及验收》</w:t>
      </w:r>
    </w:p>
    <w:p w14:paraId="3AF6C896">
      <w:pPr>
        <w:spacing w:line="360" w:lineRule="auto"/>
        <w:ind w:firstLine="480" w:firstLineChars="200"/>
        <w:rPr>
          <w:rFonts w:ascii="宋体" w:hAnsi="宋体"/>
          <w:sz w:val="24"/>
        </w:rPr>
      </w:pPr>
      <w:r>
        <w:rPr>
          <w:rFonts w:hint="eastAsia" w:ascii="宋体" w:hAnsi="宋体"/>
          <w:sz w:val="24"/>
        </w:rPr>
        <w:t>4）</w:t>
      </w:r>
      <w:r>
        <w:rPr>
          <w:rFonts w:ascii="宋体" w:hAnsi="宋体"/>
          <w:sz w:val="24"/>
        </w:rPr>
        <w:t xml:space="preserve">GB12138-89   </w:t>
      </w:r>
      <w:r>
        <w:rPr>
          <w:rFonts w:hint="eastAsia" w:ascii="宋体" w:hAnsi="宋体"/>
          <w:sz w:val="24"/>
        </w:rPr>
        <w:t>《袋式除尘器性能测试条件》</w:t>
      </w:r>
    </w:p>
    <w:p w14:paraId="46873D3E">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GB6719-86    </w:t>
      </w:r>
      <w:r>
        <w:rPr>
          <w:rFonts w:hint="eastAsia" w:ascii="宋体" w:hAnsi="宋体"/>
          <w:sz w:val="24"/>
        </w:rPr>
        <w:t>《袋式除尘器分类及规格性能表示方法》</w:t>
      </w:r>
    </w:p>
    <w:p w14:paraId="0F521275">
      <w:pPr>
        <w:spacing w:line="360" w:lineRule="auto"/>
        <w:ind w:firstLine="480" w:firstLineChars="200"/>
        <w:rPr>
          <w:rFonts w:ascii="宋体" w:hAnsi="宋体"/>
          <w:sz w:val="24"/>
        </w:rPr>
      </w:pPr>
      <w:r>
        <w:rPr>
          <w:rFonts w:hint="eastAsia" w:ascii="宋体" w:hAnsi="宋体"/>
          <w:sz w:val="24"/>
        </w:rPr>
        <w:t>6）</w:t>
      </w:r>
      <w:r>
        <w:rPr>
          <w:rFonts w:ascii="宋体" w:hAnsi="宋体"/>
          <w:sz w:val="24"/>
        </w:rPr>
        <w:t xml:space="preserve">GB12625-90   </w:t>
      </w:r>
      <w:r>
        <w:rPr>
          <w:rFonts w:hint="eastAsia" w:ascii="宋体" w:hAnsi="宋体"/>
          <w:sz w:val="24"/>
        </w:rPr>
        <w:t>《袋式除尘器滤料及滤袋技术条件》</w:t>
      </w:r>
    </w:p>
    <w:p w14:paraId="5EEAD2E8">
      <w:pPr>
        <w:spacing w:line="360" w:lineRule="auto"/>
        <w:ind w:firstLine="480" w:firstLineChars="200"/>
        <w:rPr>
          <w:rFonts w:ascii="宋体" w:hAnsi="宋体"/>
          <w:sz w:val="24"/>
        </w:rPr>
      </w:pPr>
      <w:r>
        <w:rPr>
          <w:rFonts w:hint="eastAsia" w:ascii="宋体" w:hAnsi="宋体"/>
          <w:sz w:val="24"/>
        </w:rPr>
        <w:t>7）</w:t>
      </w:r>
      <w:r>
        <w:rPr>
          <w:rFonts w:ascii="宋体" w:hAnsi="宋体"/>
          <w:sz w:val="24"/>
        </w:rPr>
        <w:t xml:space="preserve">GB/T5916-91  </w:t>
      </w:r>
      <w:r>
        <w:rPr>
          <w:rFonts w:hint="eastAsia" w:ascii="宋体" w:hAnsi="宋体"/>
          <w:sz w:val="24"/>
        </w:rPr>
        <w:t>《袋式除尘器用直角电磁阀标准条件》</w:t>
      </w:r>
    </w:p>
    <w:p w14:paraId="5B210CE1">
      <w:pPr>
        <w:spacing w:line="360" w:lineRule="auto"/>
        <w:ind w:firstLine="480" w:firstLineChars="200"/>
        <w:rPr>
          <w:rFonts w:ascii="宋体" w:hAnsi="宋体"/>
          <w:sz w:val="24"/>
        </w:rPr>
      </w:pPr>
      <w:r>
        <w:rPr>
          <w:rFonts w:hint="eastAsia" w:ascii="宋体" w:hAnsi="宋体"/>
          <w:sz w:val="24"/>
        </w:rPr>
        <w:t>8）</w:t>
      </w:r>
      <w:r>
        <w:rPr>
          <w:rFonts w:ascii="宋体" w:hAnsi="宋体"/>
          <w:sz w:val="24"/>
        </w:rPr>
        <w:t xml:space="preserve">GB4053-93    </w:t>
      </w:r>
      <w:r>
        <w:rPr>
          <w:rFonts w:hint="eastAsia" w:ascii="宋体" w:hAnsi="宋体"/>
          <w:sz w:val="24"/>
        </w:rPr>
        <w:t>《钢制平台、扶手、栏杆》</w:t>
      </w:r>
    </w:p>
    <w:p w14:paraId="4285DE5B">
      <w:pPr>
        <w:spacing w:line="360" w:lineRule="auto"/>
        <w:ind w:firstLine="480" w:firstLineChars="200"/>
        <w:rPr>
          <w:rFonts w:ascii="宋体" w:hAnsi="宋体"/>
          <w:sz w:val="24"/>
        </w:rPr>
      </w:pPr>
      <w:r>
        <w:rPr>
          <w:rFonts w:hint="eastAsia" w:ascii="宋体" w:hAnsi="宋体"/>
          <w:sz w:val="24"/>
        </w:rPr>
        <w:t>9）</w:t>
      </w:r>
      <w:r>
        <w:rPr>
          <w:rFonts w:ascii="宋体" w:hAnsi="宋体"/>
          <w:sz w:val="24"/>
        </w:rPr>
        <w:t xml:space="preserve">GB/T5917-91  </w:t>
      </w:r>
      <w:r>
        <w:rPr>
          <w:rFonts w:hint="eastAsia" w:ascii="宋体" w:hAnsi="宋体"/>
          <w:sz w:val="24"/>
        </w:rPr>
        <w:t>《袋式除尘器用滤袋框架技术条件》</w:t>
      </w:r>
    </w:p>
    <w:p w14:paraId="7246A7BF">
      <w:pPr>
        <w:tabs>
          <w:tab w:val="left" w:pos="1560"/>
        </w:tabs>
        <w:adjustRightInd w:val="0"/>
        <w:snapToGrid w:val="0"/>
        <w:spacing w:line="360" w:lineRule="auto"/>
        <w:textAlignment w:val="baseline"/>
        <w:rPr>
          <w:rFonts w:ascii="宋体" w:hAnsi="宋体" w:cs="宋体"/>
          <w:kern w:val="0"/>
          <w:sz w:val="24"/>
        </w:rPr>
      </w:pPr>
    </w:p>
    <w:p w14:paraId="06CD6153">
      <w:pPr>
        <w:numPr>
          <w:ilvl w:val="0"/>
          <w:numId w:val="3"/>
        </w:numPr>
        <w:tabs>
          <w:tab w:val="left" w:pos="1560"/>
        </w:tabs>
        <w:adjustRightInd w:val="0"/>
        <w:snapToGrid w:val="0"/>
        <w:spacing w:line="360" w:lineRule="auto"/>
        <w:textAlignment w:val="baseline"/>
        <w:rPr>
          <w:rFonts w:ascii="宋体" w:hAnsi="宋体" w:cs="宋体"/>
          <w:kern w:val="0"/>
          <w:sz w:val="24"/>
        </w:rPr>
      </w:pPr>
      <w:r>
        <w:rPr>
          <w:rFonts w:hint="eastAsia" w:ascii="宋体" w:hAnsi="宋体" w:cs="宋体"/>
          <w:b/>
          <w:bCs/>
          <w:kern w:val="0"/>
          <w:sz w:val="24"/>
        </w:rPr>
        <w:t>除尘工艺方案</w:t>
      </w:r>
    </w:p>
    <w:p w14:paraId="6A2623BB">
      <w:pPr>
        <w:spacing w:line="360" w:lineRule="auto"/>
        <w:ind w:firstLine="480" w:firstLineChars="200"/>
        <w:rPr>
          <w:rFonts w:ascii="宋体" w:hAnsi="宋体"/>
          <w:sz w:val="24"/>
        </w:rPr>
      </w:pPr>
      <w:r>
        <w:rPr>
          <w:rFonts w:hint="eastAsia" w:ascii="宋体" w:hAnsi="宋体"/>
          <w:sz w:val="24"/>
        </w:rPr>
        <w:t>1.目前，我公司高端盐生产的气力输送料仓有二套，要求新建一套烧结板除尘器，与二套高端盐料仓连接，安装气动蝶阀进行切换，气动蝶阀的控制与气力输送阀门同步切换。</w:t>
      </w:r>
    </w:p>
    <w:p w14:paraId="5CB232A4">
      <w:pPr>
        <w:spacing w:line="360" w:lineRule="auto"/>
        <w:ind w:firstLine="480" w:firstLineChars="200"/>
        <w:rPr>
          <w:rFonts w:ascii="宋体" w:hAnsi="宋体"/>
          <w:sz w:val="24"/>
        </w:rPr>
      </w:pPr>
      <w:r>
        <w:rPr>
          <w:rFonts w:hint="eastAsia" w:ascii="宋体" w:hAnsi="宋体"/>
          <w:sz w:val="24"/>
        </w:rPr>
        <w:t>滤料采用低温烧结板，表面覆盖PTFE涂层。</w:t>
      </w:r>
    </w:p>
    <w:p w14:paraId="39D2FD56">
      <w:pPr>
        <w:spacing w:line="360" w:lineRule="auto"/>
        <w:ind w:firstLine="480" w:firstLineChars="200"/>
        <w:rPr>
          <w:rFonts w:ascii="宋体" w:hAnsi="宋体"/>
          <w:sz w:val="24"/>
        </w:rPr>
      </w:pPr>
      <w:r>
        <w:rPr>
          <w:rFonts w:hint="eastAsia" w:ascii="宋体" w:hAnsi="宋体"/>
          <w:sz w:val="24"/>
        </w:rPr>
        <w:t>除尘风量确定为8000</w:t>
      </w:r>
      <w:r>
        <w:rPr>
          <w:rFonts w:ascii="宋体" w:hAnsi="宋体"/>
          <w:sz w:val="24"/>
        </w:rPr>
        <w:t>m3/h</w:t>
      </w:r>
      <w:r>
        <w:rPr>
          <w:rFonts w:hint="eastAsia" w:ascii="宋体" w:hAnsi="宋体"/>
          <w:sz w:val="24"/>
        </w:rPr>
        <w:t>。</w:t>
      </w:r>
    </w:p>
    <w:p w14:paraId="6C44B499">
      <w:pPr>
        <w:spacing w:line="360" w:lineRule="auto"/>
        <w:ind w:firstLine="480" w:firstLineChars="200"/>
        <w:rPr>
          <w:rStyle w:val="34"/>
          <w:rFonts w:hint="default"/>
          <w:sz w:val="24"/>
          <w:szCs w:val="24"/>
        </w:rPr>
      </w:pPr>
      <w:r>
        <w:rPr>
          <w:rFonts w:hint="eastAsia" w:ascii="宋体" w:hAnsi="宋体"/>
          <w:sz w:val="24"/>
        </w:rPr>
        <w:t>除尘器结构采用上箱体、中箱体、灰斗及脉冲喷吹机构等部分组成。尘气从灰斗进入除尘仓室，净气自上箱体汇风管排出。</w:t>
      </w:r>
      <w:r>
        <w:rPr>
          <w:rStyle w:val="34"/>
          <w:rFonts w:hint="default"/>
          <w:sz w:val="24"/>
          <w:szCs w:val="24"/>
        </w:rPr>
        <w:t>收集的粉尘直接落入溶解槽，溶解后浓盐水排放。</w:t>
      </w:r>
    </w:p>
    <w:p w14:paraId="2679F3DA">
      <w:pPr>
        <w:spacing w:line="360" w:lineRule="auto"/>
        <w:ind w:firstLine="480" w:firstLineChars="200"/>
        <w:rPr>
          <w:rStyle w:val="34"/>
          <w:rFonts w:hint="default"/>
          <w:sz w:val="24"/>
          <w:szCs w:val="24"/>
        </w:rPr>
      </w:pPr>
      <w:r>
        <w:rPr>
          <w:rStyle w:val="34"/>
          <w:rFonts w:hint="default"/>
          <w:sz w:val="24"/>
          <w:szCs w:val="24"/>
        </w:rPr>
        <w:t>具体布置如下图。</w:t>
      </w:r>
    </w:p>
    <w:p w14:paraId="5AD708C3">
      <w:pPr>
        <w:tabs>
          <w:tab w:val="left" w:pos="1560"/>
        </w:tabs>
        <w:adjustRightInd w:val="0"/>
        <w:snapToGrid w:val="0"/>
        <w:spacing w:line="360" w:lineRule="auto"/>
        <w:textAlignment w:val="baseline"/>
        <w:rPr>
          <w:rFonts w:ascii="宋体" w:hAnsi="宋体" w:cs="宋体"/>
          <w:kern w:val="0"/>
          <w:sz w:val="24"/>
        </w:rPr>
      </w:pPr>
      <w:r>
        <w:rPr>
          <w:rFonts w:ascii="宋体" w:hAnsi="宋体"/>
          <w:sz w:val="24"/>
        </w:rPr>
        <w:drawing>
          <wp:inline distT="0" distB="0" distL="114300" distR="114300">
            <wp:extent cx="5520690" cy="4128770"/>
            <wp:effectExtent l="0" t="0" r="3810" b="5080"/>
            <wp:docPr id="9" name="图片 1" descr="172992130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1729921302228"/>
                    <pic:cNvPicPr>
                      <a:picLocks noChangeAspect="1"/>
                    </pic:cNvPicPr>
                  </pic:nvPicPr>
                  <pic:blipFill>
                    <a:blip r:embed="rId7"/>
                    <a:stretch>
                      <a:fillRect/>
                    </a:stretch>
                  </pic:blipFill>
                  <pic:spPr>
                    <a:xfrm>
                      <a:off x="0" y="0"/>
                      <a:ext cx="5520690" cy="4128770"/>
                    </a:xfrm>
                    <a:prstGeom prst="rect">
                      <a:avLst/>
                    </a:prstGeom>
                    <a:noFill/>
                    <a:ln>
                      <a:noFill/>
                    </a:ln>
                  </pic:spPr>
                </pic:pic>
              </a:graphicData>
            </a:graphic>
          </wp:inline>
        </w:drawing>
      </w:r>
    </w:p>
    <w:p w14:paraId="3A7009F6">
      <w:pPr>
        <w:tabs>
          <w:tab w:val="left" w:pos="1560"/>
        </w:tabs>
        <w:adjustRightInd w:val="0"/>
        <w:snapToGrid w:val="0"/>
        <w:spacing w:line="360" w:lineRule="auto"/>
        <w:ind w:firstLine="480" w:firstLineChars="200"/>
        <w:textAlignment w:val="baseline"/>
        <w:rPr>
          <w:rFonts w:ascii="宋体" w:hAnsi="宋体" w:cs="宋体"/>
          <w:kern w:val="0"/>
          <w:sz w:val="24"/>
        </w:rPr>
      </w:pPr>
    </w:p>
    <w:p w14:paraId="7ADBD5AF">
      <w:pPr>
        <w:tabs>
          <w:tab w:val="left" w:pos="1560"/>
        </w:tabs>
        <w:adjustRightInd w:val="0"/>
        <w:snapToGrid w:val="0"/>
        <w:spacing w:line="360" w:lineRule="auto"/>
        <w:ind w:firstLine="480" w:firstLineChars="200"/>
        <w:textAlignment w:val="baseline"/>
        <w:rPr>
          <w:rFonts w:ascii="宋体" w:hAnsi="宋体" w:cs="宋体"/>
          <w:kern w:val="0"/>
          <w:sz w:val="24"/>
        </w:rPr>
      </w:pPr>
    </w:p>
    <w:p w14:paraId="38155471">
      <w:pPr>
        <w:tabs>
          <w:tab w:val="left" w:pos="1560"/>
        </w:tabs>
        <w:adjustRightInd w:val="0"/>
        <w:snapToGrid w:val="0"/>
        <w:spacing w:line="360" w:lineRule="auto"/>
        <w:ind w:firstLine="480" w:firstLineChars="200"/>
        <w:textAlignment w:val="baseline"/>
        <w:rPr>
          <w:rFonts w:ascii="宋体" w:hAnsi="宋体" w:cs="宋体"/>
          <w:kern w:val="0"/>
          <w:sz w:val="24"/>
        </w:rPr>
      </w:pPr>
      <w:bookmarkStart w:id="25" w:name="_Toc132532516"/>
      <w:r>
        <w:rPr>
          <w:rFonts w:hint="eastAsia" w:ascii="宋体" w:hAnsi="宋体" w:cs="宋体"/>
          <w:kern w:val="0"/>
          <w:sz w:val="24"/>
        </w:rPr>
        <w:t>2.就地控制柜其防护等级为户内IP54，户外IP55，控制箱壳体为DMC树脂材质。控制柜内的用电和控制柜至就地的电源分配由投标方自行负责，控制柜内配电回路采用断路器用于保护。</w:t>
      </w:r>
    </w:p>
    <w:p w14:paraId="004038C3">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3.所采用的材料应是全新的，具有产品合格证书、材质分析报告、机械性能测试报告。设备应有符合国标的铭牌，铭牌用耐腐不锈钢制成，清晰标示出主要技术参数，制造厂名、制造编号及出厂年、月、日。包装内附有说明书，资料齐全有效，反应设备的品种，规格、数量和性能。调节阀应开关灵活，密封性能好且具有良好的耐磨性能。转动机械部分加工应精确，以保证开关灵活，到位准确。</w:t>
      </w:r>
    </w:p>
    <w:p w14:paraId="3437EE26">
      <w:pPr>
        <w:tabs>
          <w:tab w:val="left" w:pos="1560"/>
        </w:tabs>
        <w:adjustRightInd w:val="0"/>
        <w:snapToGrid w:val="0"/>
        <w:spacing w:line="360" w:lineRule="auto"/>
        <w:ind w:firstLine="480" w:firstLineChars="200"/>
        <w:textAlignment w:val="baseline"/>
        <w:rPr>
          <w:rFonts w:ascii="宋体" w:hAnsi="宋体" w:cs="宋体"/>
          <w:kern w:val="0"/>
          <w:sz w:val="24"/>
        </w:rPr>
      </w:pPr>
    </w:p>
    <w:bookmarkEnd w:id="25"/>
    <w:p w14:paraId="585A1F37">
      <w:pPr>
        <w:spacing w:after="120" w:afterLines="50" w:line="360" w:lineRule="auto"/>
        <w:rPr>
          <w:rFonts w:ascii="宋体" w:hAnsi="宋体" w:cs="宋体"/>
          <w:b/>
          <w:bCs/>
          <w:sz w:val="24"/>
        </w:rPr>
      </w:pPr>
      <w:bookmarkStart w:id="26" w:name="_Toc287280873"/>
      <w:bookmarkStart w:id="27" w:name="_Toc406540095"/>
      <w:bookmarkStart w:id="28" w:name="_Toc144610786"/>
      <w:bookmarkStart w:id="29" w:name="_Toc144699697"/>
      <w:r>
        <w:rPr>
          <w:rFonts w:hint="eastAsia" w:ascii="宋体" w:hAnsi="宋体" w:cs="宋体"/>
          <w:b/>
          <w:bCs/>
          <w:sz w:val="24"/>
        </w:rPr>
        <w:t>8、投标方职责范围</w:t>
      </w:r>
      <w:bookmarkEnd w:id="26"/>
      <w:bookmarkEnd w:id="27"/>
    </w:p>
    <w:p w14:paraId="5F10A5BA">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投标人负责除尘设备系统所有设备、材料的供应，基础的构建；具体材料以实际需求为准。根据除尘系统图按质按量完成安装施工，与招标方完成检验，验收工作。</w:t>
      </w:r>
    </w:p>
    <w:bookmarkEnd w:id="28"/>
    <w:bookmarkEnd w:id="29"/>
    <w:p w14:paraId="24631FDE">
      <w:pPr>
        <w:spacing w:before="120" w:beforeLines="50" w:after="120" w:afterLines="50" w:line="360" w:lineRule="auto"/>
        <w:rPr>
          <w:rFonts w:ascii="宋体" w:hAnsi="宋体" w:cs="宋体"/>
          <w:b/>
          <w:bCs/>
          <w:sz w:val="24"/>
        </w:rPr>
      </w:pPr>
      <w:bookmarkStart w:id="30" w:name="_Toc270430102"/>
      <w:r>
        <w:rPr>
          <w:rFonts w:hint="eastAsia" w:ascii="宋体" w:hAnsi="宋体" w:cs="宋体"/>
          <w:b/>
          <w:bCs/>
          <w:sz w:val="24"/>
        </w:rPr>
        <w:t>9、性能保证</w:t>
      </w:r>
      <w:bookmarkEnd w:id="30"/>
    </w:p>
    <w:p w14:paraId="56FEB0B9">
      <w:pPr>
        <w:spacing w:after="120" w:afterLines="50" w:line="360" w:lineRule="auto"/>
        <w:ind w:firstLine="240" w:firstLineChars="100"/>
        <w:rPr>
          <w:rFonts w:ascii="宋体" w:hAnsi="宋体" w:cs="宋体"/>
          <w:sz w:val="24"/>
        </w:rPr>
      </w:pPr>
      <w:r>
        <w:rPr>
          <w:rFonts w:hint="eastAsia" w:ascii="宋体" w:hAnsi="宋体" w:cs="宋体"/>
          <w:sz w:val="24"/>
        </w:rPr>
        <w:t>1考核依据</w:t>
      </w:r>
    </w:p>
    <w:p w14:paraId="1BE9BAC2">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性能考核应在开车正常后连续运行72小时，作为性能考核计算的依据。</w:t>
      </w:r>
    </w:p>
    <w:p w14:paraId="5483808A">
      <w:pPr>
        <w:spacing w:after="120" w:afterLines="50" w:line="360" w:lineRule="auto"/>
        <w:ind w:firstLine="240" w:firstLineChars="100"/>
        <w:rPr>
          <w:rFonts w:ascii="宋体" w:hAnsi="宋体" w:cs="宋体"/>
          <w:sz w:val="24"/>
        </w:rPr>
      </w:pPr>
      <w:r>
        <w:rPr>
          <w:rFonts w:hint="eastAsia" w:ascii="宋体" w:hAnsi="宋体" w:cs="宋体"/>
          <w:sz w:val="24"/>
        </w:rPr>
        <w:t>2.考核范围</w:t>
      </w:r>
    </w:p>
    <w:p w14:paraId="376BB9CC">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投标人将对所提供系统及设备，在正常操作情况下进行以下性能保证：</w:t>
      </w:r>
    </w:p>
    <w:p w14:paraId="0B165782">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设备噪音要求：符合国家最新标准和规范要求。</w:t>
      </w:r>
    </w:p>
    <w:p w14:paraId="7AE79F2A">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排放物保证满足国家最新标准和规范要求。</w:t>
      </w:r>
    </w:p>
    <w:p w14:paraId="31A7844B">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设备投入运行后在订货合同规定的时间内，因产品质量问题而发生损坏时（不包括易损件），投标人应无偿地及时为用户弥补或更换损坏件。</w:t>
      </w:r>
    </w:p>
    <w:p w14:paraId="3B54BF1D">
      <w:pPr>
        <w:spacing w:before="120" w:beforeLines="50" w:after="120" w:afterLines="50" w:line="360" w:lineRule="auto"/>
        <w:rPr>
          <w:rFonts w:ascii="宋体" w:hAnsi="宋体" w:cs="宋体"/>
          <w:b/>
          <w:bCs/>
          <w:sz w:val="24"/>
        </w:rPr>
      </w:pPr>
      <w:bookmarkStart w:id="31" w:name="_Toc259457371"/>
      <w:bookmarkEnd w:id="31"/>
      <w:bookmarkStart w:id="32" w:name="_Toc259458261"/>
      <w:bookmarkEnd w:id="32"/>
      <w:bookmarkStart w:id="33" w:name="_Toc258827665"/>
      <w:bookmarkEnd w:id="33"/>
      <w:bookmarkStart w:id="34" w:name="_Toc259458845"/>
      <w:bookmarkEnd w:id="34"/>
      <w:bookmarkStart w:id="35" w:name="_Toc258827663"/>
      <w:bookmarkEnd w:id="35"/>
      <w:bookmarkStart w:id="36" w:name="_Toc259515187"/>
      <w:bookmarkEnd w:id="36"/>
      <w:bookmarkStart w:id="37" w:name="_Toc258827666"/>
      <w:bookmarkEnd w:id="37"/>
      <w:bookmarkStart w:id="38" w:name="_Toc258827427"/>
      <w:bookmarkEnd w:id="38"/>
      <w:bookmarkStart w:id="39" w:name="_Toc259455079"/>
      <w:bookmarkEnd w:id="39"/>
      <w:bookmarkStart w:id="40" w:name="_Toc259455885"/>
      <w:bookmarkEnd w:id="40"/>
      <w:bookmarkStart w:id="41" w:name="_Toc259455197"/>
      <w:bookmarkEnd w:id="41"/>
      <w:bookmarkStart w:id="42" w:name="_Toc260811937"/>
      <w:bookmarkEnd w:id="42"/>
      <w:bookmarkStart w:id="43" w:name="_Toc259458671"/>
      <w:bookmarkEnd w:id="43"/>
      <w:bookmarkStart w:id="44" w:name="_Toc259455199"/>
      <w:bookmarkEnd w:id="44"/>
      <w:bookmarkStart w:id="45" w:name="_Toc259458669"/>
      <w:bookmarkEnd w:id="45"/>
      <w:bookmarkStart w:id="46" w:name="_Toc259515352"/>
      <w:bookmarkEnd w:id="46"/>
      <w:bookmarkStart w:id="47" w:name="_Toc259515353"/>
      <w:bookmarkEnd w:id="47"/>
      <w:bookmarkStart w:id="48" w:name="_Toc259458670"/>
      <w:bookmarkEnd w:id="48"/>
      <w:bookmarkStart w:id="49" w:name="_Toc259515357"/>
      <w:bookmarkEnd w:id="49"/>
      <w:bookmarkStart w:id="50" w:name="_Toc259458672"/>
      <w:bookmarkEnd w:id="50"/>
      <w:bookmarkStart w:id="51" w:name="_Toc260811936"/>
      <w:bookmarkEnd w:id="51"/>
      <w:bookmarkStart w:id="52" w:name="_Toc259457370"/>
      <w:bookmarkEnd w:id="52"/>
      <w:bookmarkStart w:id="53" w:name="_Toc259458673"/>
      <w:bookmarkEnd w:id="53"/>
      <w:bookmarkStart w:id="54" w:name="_Toc260728023"/>
      <w:bookmarkEnd w:id="54"/>
      <w:bookmarkStart w:id="55" w:name="_Toc259458260"/>
      <w:bookmarkEnd w:id="55"/>
      <w:bookmarkStart w:id="56" w:name="_Toc259458427"/>
      <w:bookmarkEnd w:id="56"/>
      <w:bookmarkStart w:id="57" w:name="_Toc258827668"/>
      <w:bookmarkEnd w:id="57"/>
      <w:bookmarkStart w:id="58" w:name="_Toc259457375"/>
      <w:bookmarkEnd w:id="58"/>
      <w:bookmarkStart w:id="59" w:name="_Toc260929134"/>
      <w:bookmarkEnd w:id="59"/>
      <w:bookmarkStart w:id="60" w:name="_Toc260929139"/>
      <w:bookmarkEnd w:id="60"/>
      <w:bookmarkStart w:id="61" w:name="_Toc259455882"/>
      <w:bookmarkEnd w:id="61"/>
      <w:bookmarkStart w:id="62" w:name="_Toc258827552"/>
      <w:bookmarkEnd w:id="62"/>
      <w:bookmarkStart w:id="63" w:name="_Toc259458257"/>
      <w:bookmarkEnd w:id="63"/>
      <w:bookmarkStart w:id="64" w:name="_Toc260811935"/>
      <w:bookmarkEnd w:id="64"/>
      <w:bookmarkStart w:id="65" w:name="_Toc259458258"/>
      <w:bookmarkEnd w:id="65"/>
      <w:bookmarkStart w:id="66" w:name="_Toc259455080"/>
      <w:bookmarkEnd w:id="66"/>
      <w:bookmarkStart w:id="67" w:name="_Toc259458432"/>
      <w:bookmarkEnd w:id="67"/>
      <w:bookmarkStart w:id="68" w:name="_Toc258827664"/>
      <w:bookmarkEnd w:id="68"/>
      <w:bookmarkStart w:id="69" w:name="_Toc259458843"/>
      <w:bookmarkEnd w:id="69"/>
      <w:bookmarkStart w:id="70" w:name="_Toc259455198"/>
      <w:bookmarkEnd w:id="70"/>
      <w:bookmarkStart w:id="71" w:name="_Toc260929135"/>
      <w:bookmarkEnd w:id="71"/>
      <w:bookmarkStart w:id="72" w:name="_Toc259455884"/>
      <w:bookmarkEnd w:id="72"/>
      <w:bookmarkStart w:id="73" w:name="_Toc258827428"/>
      <w:bookmarkEnd w:id="73"/>
      <w:bookmarkStart w:id="74" w:name="_Toc259455200"/>
      <w:bookmarkEnd w:id="74"/>
      <w:bookmarkStart w:id="75" w:name="_Toc259458842"/>
      <w:bookmarkEnd w:id="75"/>
      <w:bookmarkStart w:id="76" w:name="_Toc259458844"/>
      <w:bookmarkEnd w:id="76"/>
      <w:bookmarkStart w:id="77" w:name="_Toc260929137"/>
      <w:bookmarkEnd w:id="77"/>
      <w:bookmarkStart w:id="78" w:name="_Toc258827670"/>
      <w:bookmarkEnd w:id="78"/>
      <w:bookmarkStart w:id="79" w:name="_Toc259458676"/>
      <w:bookmarkEnd w:id="79"/>
      <w:bookmarkStart w:id="80" w:name="_Toc259455195"/>
      <w:bookmarkEnd w:id="80"/>
      <w:bookmarkStart w:id="81" w:name="_Toc259455075"/>
      <w:bookmarkEnd w:id="81"/>
      <w:bookmarkStart w:id="82" w:name="_Toc259455886"/>
      <w:bookmarkEnd w:id="82"/>
      <w:bookmarkStart w:id="83" w:name="_Toc258827548"/>
      <w:bookmarkEnd w:id="83"/>
      <w:bookmarkStart w:id="84" w:name="_Toc259458675"/>
      <w:bookmarkEnd w:id="84"/>
      <w:bookmarkStart w:id="85" w:name="_Toc259455881"/>
      <w:bookmarkEnd w:id="85"/>
      <w:bookmarkStart w:id="86" w:name="_Toc259515184"/>
      <w:bookmarkEnd w:id="86"/>
      <w:bookmarkStart w:id="87" w:name="_Toc259455077"/>
      <w:bookmarkEnd w:id="87"/>
      <w:bookmarkStart w:id="88" w:name="_Toc260929136"/>
      <w:bookmarkEnd w:id="88"/>
      <w:bookmarkStart w:id="89" w:name="_Toc259515355"/>
      <w:bookmarkEnd w:id="89"/>
      <w:bookmarkStart w:id="90" w:name="_Toc259458839"/>
      <w:bookmarkEnd w:id="90"/>
      <w:bookmarkStart w:id="91" w:name="_Toc259455193"/>
      <w:bookmarkEnd w:id="91"/>
      <w:bookmarkStart w:id="92" w:name="_Toc260811938"/>
      <w:bookmarkEnd w:id="92"/>
      <w:bookmarkStart w:id="93" w:name="_Toc259458434"/>
      <w:bookmarkEnd w:id="93"/>
      <w:bookmarkStart w:id="94" w:name="_Toc260728028"/>
      <w:bookmarkEnd w:id="94"/>
      <w:bookmarkStart w:id="95" w:name="_Toc258827546"/>
      <w:bookmarkEnd w:id="95"/>
      <w:bookmarkStart w:id="96" w:name="_Toc258827426"/>
      <w:bookmarkEnd w:id="96"/>
      <w:bookmarkStart w:id="97" w:name="_Toc259458430"/>
      <w:bookmarkEnd w:id="97"/>
      <w:bookmarkStart w:id="98" w:name="_Toc260811940"/>
      <w:bookmarkEnd w:id="98"/>
      <w:bookmarkStart w:id="99" w:name="_Toc260728030"/>
      <w:bookmarkEnd w:id="99"/>
      <w:bookmarkStart w:id="100" w:name="_Toc259455076"/>
      <w:bookmarkEnd w:id="100"/>
      <w:bookmarkStart w:id="101" w:name="_Toc258827431"/>
      <w:bookmarkEnd w:id="101"/>
      <w:bookmarkStart w:id="102" w:name="_Toc259457372"/>
      <w:bookmarkEnd w:id="102"/>
      <w:bookmarkStart w:id="103" w:name="_Toc259515190"/>
      <w:bookmarkEnd w:id="103"/>
      <w:bookmarkStart w:id="104" w:name="_Toc259458262"/>
      <w:bookmarkEnd w:id="104"/>
      <w:bookmarkStart w:id="105" w:name="_Toc259515191"/>
      <w:bookmarkEnd w:id="105"/>
      <w:bookmarkStart w:id="106" w:name="_Toc259458429"/>
      <w:bookmarkEnd w:id="106"/>
      <w:bookmarkStart w:id="107" w:name="_Toc259457373"/>
      <w:bookmarkEnd w:id="107"/>
      <w:bookmarkStart w:id="108" w:name="_Toc259458674"/>
      <w:bookmarkEnd w:id="108"/>
      <w:bookmarkStart w:id="109" w:name="_Toc259515185"/>
      <w:bookmarkEnd w:id="109"/>
      <w:bookmarkStart w:id="110" w:name="_Toc258827667"/>
      <w:bookmarkEnd w:id="110"/>
      <w:bookmarkStart w:id="111" w:name="_Toc258827550"/>
      <w:bookmarkEnd w:id="111"/>
      <w:bookmarkStart w:id="112" w:name="_Toc259515351"/>
      <w:bookmarkEnd w:id="112"/>
      <w:bookmarkStart w:id="113" w:name="_Toc259515188"/>
      <w:bookmarkEnd w:id="113"/>
      <w:bookmarkStart w:id="114" w:name="_Toc258827551"/>
      <w:bookmarkEnd w:id="114"/>
      <w:bookmarkStart w:id="115" w:name="_Toc259515356"/>
      <w:bookmarkEnd w:id="115"/>
      <w:bookmarkStart w:id="116" w:name="_Toc259515186"/>
      <w:bookmarkEnd w:id="116"/>
      <w:bookmarkStart w:id="117" w:name="_Toc259455082"/>
      <w:bookmarkEnd w:id="117"/>
      <w:bookmarkStart w:id="118" w:name="_Toc258827432"/>
      <w:bookmarkEnd w:id="118"/>
      <w:bookmarkStart w:id="119" w:name="_Toc258827549"/>
      <w:bookmarkEnd w:id="119"/>
      <w:bookmarkStart w:id="120" w:name="_Toc258827429"/>
      <w:bookmarkEnd w:id="120"/>
      <w:bookmarkStart w:id="121" w:name="_Toc258827425"/>
      <w:bookmarkEnd w:id="121"/>
      <w:bookmarkStart w:id="122" w:name="_Toc259455883"/>
      <w:bookmarkEnd w:id="122"/>
      <w:bookmarkStart w:id="123" w:name="_Toc259457374"/>
      <w:bookmarkEnd w:id="123"/>
      <w:bookmarkStart w:id="124" w:name="_Toc259458841"/>
      <w:bookmarkEnd w:id="124"/>
      <w:bookmarkStart w:id="125" w:name="_Toc259515189"/>
      <w:bookmarkEnd w:id="125"/>
      <w:bookmarkStart w:id="126" w:name="_Toc258827669"/>
      <w:bookmarkEnd w:id="126"/>
      <w:bookmarkStart w:id="127" w:name="_Toc259458846"/>
      <w:bookmarkEnd w:id="127"/>
      <w:bookmarkStart w:id="128" w:name="_Toc260728026"/>
      <w:bookmarkEnd w:id="128"/>
      <w:bookmarkStart w:id="129" w:name="_Toc260811934"/>
      <w:bookmarkEnd w:id="129"/>
      <w:bookmarkStart w:id="130" w:name="_Toc260929132"/>
      <w:bookmarkEnd w:id="130"/>
      <w:bookmarkStart w:id="131" w:name="_Toc259455194"/>
      <w:bookmarkEnd w:id="131"/>
      <w:bookmarkStart w:id="132" w:name="_Toc259455888"/>
      <w:bookmarkEnd w:id="132"/>
      <w:bookmarkStart w:id="133" w:name="_Toc260929133"/>
      <w:bookmarkEnd w:id="133"/>
      <w:bookmarkStart w:id="134" w:name="_Toc259458431"/>
      <w:bookmarkEnd w:id="134"/>
      <w:bookmarkStart w:id="135" w:name="_Toc258827553"/>
      <w:bookmarkEnd w:id="135"/>
      <w:bookmarkStart w:id="136" w:name="_Toc259457377"/>
      <w:bookmarkEnd w:id="136"/>
      <w:bookmarkStart w:id="137" w:name="_Toc259458264"/>
      <w:bookmarkEnd w:id="137"/>
      <w:bookmarkStart w:id="138" w:name="_Toc259515354"/>
      <w:bookmarkEnd w:id="138"/>
      <w:bookmarkStart w:id="139" w:name="_Toc260811941"/>
      <w:bookmarkEnd w:id="139"/>
      <w:bookmarkStart w:id="140" w:name="_Toc259458433"/>
      <w:bookmarkEnd w:id="140"/>
      <w:bookmarkStart w:id="141" w:name="_Toc259458259"/>
      <w:bookmarkEnd w:id="141"/>
      <w:bookmarkStart w:id="142" w:name="_Toc260728025"/>
      <w:bookmarkEnd w:id="142"/>
      <w:bookmarkStart w:id="143" w:name="_Toc260811939"/>
      <w:bookmarkEnd w:id="143"/>
      <w:bookmarkStart w:id="144" w:name="_Toc260728029"/>
      <w:bookmarkEnd w:id="144"/>
      <w:bookmarkStart w:id="145" w:name="_Toc259458428"/>
      <w:bookmarkEnd w:id="145"/>
      <w:bookmarkStart w:id="146" w:name="_Toc259455887"/>
      <w:bookmarkEnd w:id="146"/>
      <w:bookmarkStart w:id="147" w:name="_Toc259515358"/>
      <w:bookmarkEnd w:id="147"/>
      <w:bookmarkStart w:id="148" w:name="_Toc258827547"/>
      <w:bookmarkEnd w:id="148"/>
      <w:bookmarkStart w:id="149" w:name="_Toc260728027"/>
      <w:bookmarkEnd w:id="149"/>
      <w:bookmarkStart w:id="150" w:name="_Toc259455196"/>
      <w:bookmarkEnd w:id="150"/>
      <w:bookmarkStart w:id="151" w:name="_Toc259458840"/>
      <w:bookmarkEnd w:id="151"/>
      <w:bookmarkStart w:id="152" w:name="_Toc258827430"/>
      <w:bookmarkEnd w:id="152"/>
      <w:bookmarkStart w:id="153" w:name="_Toc260929138"/>
      <w:bookmarkEnd w:id="153"/>
      <w:bookmarkStart w:id="154" w:name="_Toc259455078"/>
      <w:bookmarkEnd w:id="154"/>
      <w:bookmarkStart w:id="155" w:name="_Toc259457376"/>
      <w:bookmarkEnd w:id="155"/>
      <w:bookmarkStart w:id="156" w:name="_Toc259455081"/>
      <w:bookmarkEnd w:id="156"/>
      <w:bookmarkStart w:id="157" w:name="_Toc260728024"/>
      <w:bookmarkEnd w:id="157"/>
      <w:bookmarkStart w:id="158" w:name="_Toc259458263"/>
      <w:bookmarkEnd w:id="158"/>
      <w:bookmarkStart w:id="159" w:name="_Toc132532520"/>
      <w:bookmarkStart w:id="160" w:name="_Toc270430103"/>
      <w:r>
        <w:rPr>
          <w:rFonts w:hint="eastAsia" w:ascii="宋体" w:hAnsi="宋体" w:cs="宋体"/>
          <w:b/>
          <w:bCs/>
          <w:sz w:val="24"/>
        </w:rPr>
        <w:t>10、检验，试验</w:t>
      </w:r>
      <w:bookmarkEnd w:id="159"/>
      <w:r>
        <w:rPr>
          <w:rFonts w:hint="eastAsia" w:ascii="宋体" w:hAnsi="宋体" w:cs="宋体"/>
          <w:b/>
          <w:bCs/>
          <w:sz w:val="24"/>
        </w:rPr>
        <w:t>及验收</w:t>
      </w:r>
      <w:bookmarkEnd w:id="160"/>
    </w:p>
    <w:p w14:paraId="0C99F05B">
      <w:pPr>
        <w:spacing w:after="120" w:afterLines="50" w:line="360" w:lineRule="auto"/>
        <w:ind w:firstLine="240" w:firstLineChars="100"/>
        <w:rPr>
          <w:rFonts w:ascii="宋体" w:hAnsi="宋体" w:cs="宋体"/>
          <w:sz w:val="24"/>
        </w:rPr>
      </w:pPr>
      <w:bookmarkStart w:id="161" w:name="_Toc270430104"/>
      <w:bookmarkStart w:id="162" w:name="_Toc178417400"/>
      <w:bookmarkStart w:id="163" w:name="_Toc132532521"/>
      <w:r>
        <w:rPr>
          <w:rFonts w:hint="eastAsia" w:ascii="宋体" w:hAnsi="宋体" w:cs="宋体"/>
          <w:sz w:val="24"/>
        </w:rPr>
        <w:t>1.通则</w:t>
      </w:r>
      <w:bookmarkEnd w:id="161"/>
    </w:p>
    <w:bookmarkEnd w:id="162"/>
    <w:bookmarkEnd w:id="163"/>
    <w:p w14:paraId="7466ABD7">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检验和试验应根据招标人的技术规定、数据表和经买方审核过的图纸进行。上述文件应为最新版次。</w:t>
      </w:r>
    </w:p>
    <w:p w14:paraId="07F94991">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当本规定的某项内容不可行时，投标人应在设备制造之前提出详细的替代检验程序并提交给招标人审查。</w:t>
      </w:r>
    </w:p>
    <w:p w14:paraId="4679A0C0">
      <w:pPr>
        <w:spacing w:after="120" w:afterLines="50" w:line="360" w:lineRule="auto"/>
        <w:ind w:firstLine="240" w:firstLineChars="100"/>
        <w:rPr>
          <w:rFonts w:ascii="宋体" w:hAnsi="宋体" w:cs="宋体"/>
          <w:sz w:val="24"/>
        </w:rPr>
      </w:pPr>
      <w:r>
        <w:rPr>
          <w:rFonts w:hint="eastAsia" w:ascii="宋体" w:hAnsi="宋体" w:cs="宋体"/>
          <w:sz w:val="24"/>
        </w:rPr>
        <w:t>2.见证试验和检验</w:t>
      </w:r>
    </w:p>
    <w:p w14:paraId="66873F35">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投标人根据招标人提交的试验和检验程序，确定招标人的见证试验和检验。</w:t>
      </w:r>
    </w:p>
    <w:p w14:paraId="23A55532">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投标人应在合同生效后2周之内，向招标人提交全部试验和检验的详细程序，包括监测参数的验收准则供招标人评审之用。</w:t>
      </w:r>
    </w:p>
    <w:p w14:paraId="75F0504A">
      <w:pPr>
        <w:spacing w:after="120" w:afterLines="50" w:line="360" w:lineRule="auto"/>
        <w:ind w:firstLine="240" w:firstLineChars="100"/>
        <w:rPr>
          <w:rFonts w:ascii="宋体" w:hAnsi="宋体" w:cs="宋体"/>
          <w:sz w:val="24"/>
        </w:rPr>
      </w:pPr>
      <w:r>
        <w:rPr>
          <w:rFonts w:hint="eastAsia" w:ascii="宋体" w:hAnsi="宋体" w:cs="宋体"/>
          <w:sz w:val="24"/>
        </w:rPr>
        <w:t>3.检验和试验项目、程序和验收标准</w:t>
      </w:r>
    </w:p>
    <w:p w14:paraId="1AF5F292">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设备应进行工厂试验和现场试验，以证实材料、工艺及性能满足所采用的标准及本规范书的要求。投标人应严格按照所采用的标准、规范制定出一套完整的检验、试验和验收的准则，并应以书面的形式随报价书提交招标人，以供招标人审阅并提出意见。投标人在设备加工过程中必须按照国家标准规范及相关的工厂标准进行检验、试验，不合格品不得进入后续工序。各部件组装前，应进行零件检查，不合格零件不允许组装。组装过程中必须按有关标准进行检查，所有检查项目的结果必须满足有关要求。各项检验、试验活动，投标人均应向招标人提交检验或试验报告。某项检验、试验不能满足标准、规范及性能要求时，投标人应自费进行调整、修改和补充，直至满足要求为止。</w:t>
      </w:r>
    </w:p>
    <w:p w14:paraId="6A254CDD">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重要的部件试运见证和质量控制活动应提前三周书面通知邀请招标人代表参加。招标人有权参加由制造厂商所进行的试验和检验，并分析、纠正与招标人要求不一致的方面；设备制造完成后，须经招标人现场检验合格并批准后方可出厂发运,招标人代表对试运的见证并不表示可以免除投标人在后续工作中的责任。</w:t>
      </w:r>
    </w:p>
    <w:p w14:paraId="02E833E0">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最终检验与验收在投标人完成现场设备安装后，现场完成。</w:t>
      </w:r>
    </w:p>
    <w:p w14:paraId="790A30CD">
      <w:pPr>
        <w:spacing w:before="120" w:beforeLines="50" w:after="120" w:afterLines="50" w:line="360" w:lineRule="auto"/>
        <w:rPr>
          <w:rFonts w:ascii="宋体" w:hAnsi="宋体" w:cs="宋体"/>
          <w:b/>
          <w:bCs/>
          <w:sz w:val="24"/>
        </w:rPr>
      </w:pPr>
      <w:bookmarkStart w:id="164" w:name="_Toc270430106"/>
      <w:bookmarkStart w:id="165" w:name="_Toc132532523"/>
      <w:r>
        <w:rPr>
          <w:rFonts w:hint="eastAsia" w:ascii="宋体" w:hAnsi="宋体" w:cs="宋体"/>
          <w:b/>
          <w:bCs/>
          <w:sz w:val="24"/>
        </w:rPr>
        <w:t>11、 油漆、标志、包装及运输</w:t>
      </w:r>
      <w:bookmarkEnd w:id="164"/>
      <w:bookmarkEnd w:id="165"/>
    </w:p>
    <w:p w14:paraId="20B8ED27">
      <w:pPr>
        <w:spacing w:after="120" w:afterLines="50" w:line="360" w:lineRule="auto"/>
        <w:ind w:firstLine="240" w:firstLineChars="100"/>
        <w:rPr>
          <w:rFonts w:ascii="宋体" w:hAnsi="宋体" w:cs="宋体"/>
          <w:sz w:val="24"/>
        </w:rPr>
      </w:pPr>
      <w:bookmarkStart w:id="166" w:name="_Toc270430107"/>
      <w:bookmarkStart w:id="167" w:name="_Toc254855014"/>
      <w:bookmarkStart w:id="168" w:name="_Toc132532524"/>
      <w:r>
        <w:rPr>
          <w:rFonts w:hint="eastAsia" w:ascii="宋体" w:hAnsi="宋体" w:cs="宋体"/>
          <w:sz w:val="24"/>
        </w:rPr>
        <w:t>1.油漆</w:t>
      </w:r>
      <w:bookmarkEnd w:id="166"/>
      <w:bookmarkEnd w:id="167"/>
    </w:p>
    <w:p w14:paraId="1D621952">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请按照《外防腐设计规定》、《涂色规定》执行。若制造厂有建议和其它要求请在偏离表（附表）中列出。</w:t>
      </w:r>
    </w:p>
    <w:bookmarkEnd w:id="168"/>
    <w:p w14:paraId="14BB8946">
      <w:pPr>
        <w:spacing w:after="120" w:afterLines="50" w:line="360" w:lineRule="auto"/>
        <w:ind w:firstLine="240" w:firstLineChars="100"/>
        <w:rPr>
          <w:rFonts w:ascii="宋体" w:hAnsi="宋体" w:cs="宋体"/>
          <w:sz w:val="24"/>
        </w:rPr>
      </w:pPr>
      <w:bookmarkStart w:id="169" w:name="_Toc260929146"/>
      <w:bookmarkEnd w:id="169"/>
      <w:bookmarkStart w:id="170" w:name="_Toc260811955"/>
      <w:bookmarkEnd w:id="170"/>
      <w:bookmarkStart w:id="171" w:name="_Toc260728046"/>
      <w:bookmarkEnd w:id="171"/>
      <w:bookmarkStart w:id="172" w:name="_Toc260929148"/>
      <w:bookmarkEnd w:id="172"/>
      <w:bookmarkStart w:id="173" w:name="_Toc260728042"/>
      <w:bookmarkEnd w:id="173"/>
      <w:bookmarkStart w:id="174" w:name="_Toc260811957"/>
      <w:bookmarkEnd w:id="174"/>
      <w:bookmarkStart w:id="175" w:name="_Toc260728038"/>
      <w:bookmarkEnd w:id="175"/>
      <w:bookmarkStart w:id="176" w:name="_Toc260929151"/>
      <w:bookmarkEnd w:id="176"/>
      <w:bookmarkStart w:id="177" w:name="_Toc260728044"/>
      <w:bookmarkEnd w:id="177"/>
      <w:bookmarkStart w:id="178" w:name="_Toc260811954"/>
      <w:bookmarkEnd w:id="178"/>
      <w:bookmarkStart w:id="179" w:name="_Toc260811948"/>
      <w:bookmarkEnd w:id="179"/>
      <w:bookmarkStart w:id="180" w:name="_Toc260811951"/>
      <w:bookmarkEnd w:id="180"/>
      <w:bookmarkStart w:id="181" w:name="_Toc260728043"/>
      <w:bookmarkEnd w:id="181"/>
      <w:bookmarkStart w:id="182" w:name="_Toc260929154"/>
      <w:bookmarkEnd w:id="182"/>
      <w:bookmarkStart w:id="183" w:name="_Toc260728040"/>
      <w:bookmarkEnd w:id="183"/>
      <w:bookmarkStart w:id="184" w:name="_Toc260811953"/>
      <w:bookmarkEnd w:id="184"/>
      <w:bookmarkStart w:id="185" w:name="_Toc260811956"/>
      <w:bookmarkEnd w:id="185"/>
      <w:bookmarkStart w:id="186" w:name="_Toc260929147"/>
      <w:bookmarkEnd w:id="186"/>
      <w:bookmarkStart w:id="187" w:name="_Toc260728045"/>
      <w:bookmarkEnd w:id="187"/>
      <w:bookmarkStart w:id="188" w:name="_Toc260929149"/>
      <w:bookmarkEnd w:id="188"/>
      <w:bookmarkStart w:id="189" w:name="_Toc260929155"/>
      <w:bookmarkEnd w:id="189"/>
      <w:bookmarkStart w:id="190" w:name="_Toc260728037"/>
      <w:bookmarkEnd w:id="190"/>
      <w:bookmarkStart w:id="191" w:name="_Toc260929152"/>
      <w:bookmarkEnd w:id="191"/>
      <w:bookmarkStart w:id="192" w:name="_Toc260811950"/>
      <w:bookmarkEnd w:id="192"/>
      <w:bookmarkStart w:id="193" w:name="_Toc260728039"/>
      <w:bookmarkEnd w:id="193"/>
      <w:bookmarkStart w:id="194" w:name="_Toc260929153"/>
      <w:bookmarkEnd w:id="194"/>
      <w:bookmarkStart w:id="195" w:name="_Toc260811949"/>
      <w:bookmarkEnd w:id="195"/>
      <w:bookmarkStart w:id="196" w:name="_Toc132532526"/>
      <w:bookmarkStart w:id="197" w:name="_Toc270430109"/>
      <w:r>
        <w:rPr>
          <w:rFonts w:hint="eastAsia" w:ascii="宋体" w:hAnsi="宋体" w:cs="宋体"/>
          <w:sz w:val="24"/>
        </w:rPr>
        <w:t>2.包装及运输</w:t>
      </w:r>
      <w:bookmarkEnd w:id="196"/>
      <w:bookmarkEnd w:id="197"/>
    </w:p>
    <w:p w14:paraId="480C4DDD">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2.1除尘系统设备包装应符合GB/T 13384-2008《机电产品包装通用技术条件》的规定,其中传动装置以及电气设备必须用封闭箱包装。</w:t>
      </w:r>
    </w:p>
    <w:p w14:paraId="19EC52A6">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2.2所有部件应加以适当的包装和固定以防在运输过程中可能发生的损坏。</w:t>
      </w:r>
    </w:p>
    <w:p w14:paraId="653A4FF6">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2.3发运前投标人应清洗所有的部件并对其做适当的防腐处理和必要的保护措施，以保证机组发运到现场后在不采取另外的保护措施的条件下至少可以存放6个月而不会产生任何损坏。</w:t>
      </w:r>
    </w:p>
    <w:p w14:paraId="525F3E04">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2.4投标人对其产品在现场的贮存保管提出明确的要求。</w:t>
      </w:r>
    </w:p>
    <w:p w14:paraId="0719C97C">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2.5投标人应最大限度的完成工厂组装，以保证设备的质量减少现场组装工作量。招标人应提供详细的设备交货状态列表供招标人审查。</w:t>
      </w:r>
    </w:p>
    <w:p w14:paraId="0D6ACAB4">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2.6出厂资料</w:t>
      </w:r>
    </w:p>
    <w:p w14:paraId="46A3A581">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 1 \* GB3 </w:instrText>
      </w:r>
      <w:r>
        <w:rPr>
          <w:rFonts w:hint="eastAsia" w:ascii="宋体" w:hAnsi="宋体" w:cs="宋体"/>
          <w:kern w:val="0"/>
          <w:sz w:val="24"/>
        </w:rPr>
        <w:fldChar w:fldCharType="separate"/>
      </w:r>
      <w:r>
        <w:rPr>
          <w:rFonts w:hint="eastAsia" w:ascii="宋体" w:hAnsi="宋体" w:cs="宋体"/>
          <w:kern w:val="0"/>
          <w:sz w:val="24"/>
        </w:rPr>
        <w:t>①</w:t>
      </w:r>
      <w:r>
        <w:rPr>
          <w:rFonts w:hint="eastAsia" w:ascii="宋体" w:hAnsi="宋体" w:cs="宋体"/>
          <w:kern w:val="0"/>
          <w:sz w:val="24"/>
        </w:rPr>
        <w:fldChar w:fldCharType="end"/>
      </w:r>
      <w:r>
        <w:rPr>
          <w:rFonts w:hint="eastAsia" w:ascii="宋体" w:hAnsi="宋体" w:cs="宋体"/>
          <w:kern w:val="0"/>
          <w:sz w:val="24"/>
        </w:rPr>
        <w:t>装箱单；</w:t>
      </w:r>
    </w:p>
    <w:p w14:paraId="2FE78852">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 2 \* GB3 </w:instrText>
      </w:r>
      <w:r>
        <w:rPr>
          <w:rFonts w:hint="eastAsia" w:ascii="宋体" w:hAnsi="宋体" w:cs="宋体"/>
          <w:kern w:val="0"/>
          <w:sz w:val="24"/>
        </w:rPr>
        <w:fldChar w:fldCharType="separate"/>
      </w:r>
      <w:r>
        <w:rPr>
          <w:rFonts w:hint="eastAsia" w:ascii="宋体" w:hAnsi="宋体" w:cs="宋体"/>
          <w:kern w:val="0"/>
          <w:sz w:val="24"/>
        </w:rPr>
        <w:t>②</w:t>
      </w:r>
      <w:r>
        <w:rPr>
          <w:rFonts w:hint="eastAsia" w:ascii="宋体" w:hAnsi="宋体" w:cs="宋体"/>
          <w:kern w:val="0"/>
          <w:sz w:val="24"/>
        </w:rPr>
        <w:fldChar w:fldCharType="end"/>
      </w:r>
      <w:r>
        <w:rPr>
          <w:rFonts w:hint="eastAsia" w:ascii="宋体" w:hAnsi="宋体" w:cs="宋体"/>
          <w:kern w:val="0"/>
          <w:sz w:val="24"/>
        </w:rPr>
        <w:t>由投标人制造厂检验人员签署各项检验报告及数据；</w:t>
      </w:r>
    </w:p>
    <w:p w14:paraId="238E41A5">
      <w:pPr>
        <w:tabs>
          <w:tab w:val="left" w:pos="1560"/>
        </w:tabs>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 3 \* GB3 </w:instrText>
      </w:r>
      <w:r>
        <w:rPr>
          <w:rFonts w:hint="eastAsia" w:ascii="宋体" w:hAnsi="宋体" w:cs="宋体"/>
          <w:kern w:val="0"/>
          <w:sz w:val="24"/>
        </w:rPr>
        <w:fldChar w:fldCharType="separate"/>
      </w:r>
      <w:r>
        <w:rPr>
          <w:rFonts w:hint="eastAsia" w:ascii="宋体" w:hAnsi="宋体" w:cs="宋体"/>
          <w:kern w:val="0"/>
          <w:sz w:val="24"/>
        </w:rPr>
        <w:t>③</w:t>
      </w:r>
      <w:r>
        <w:rPr>
          <w:rFonts w:hint="eastAsia" w:ascii="宋体" w:hAnsi="宋体" w:cs="宋体"/>
          <w:kern w:val="0"/>
          <w:sz w:val="24"/>
        </w:rPr>
        <w:fldChar w:fldCharType="end"/>
      </w:r>
      <w:r>
        <w:rPr>
          <w:rFonts w:hint="eastAsia" w:ascii="宋体" w:hAnsi="宋体" w:cs="宋体"/>
          <w:kern w:val="0"/>
          <w:sz w:val="24"/>
        </w:rPr>
        <w:t>产品质量合格证。</w:t>
      </w:r>
    </w:p>
    <w:p w14:paraId="372A3849">
      <w:pPr>
        <w:spacing w:before="120" w:beforeLines="50" w:after="120" w:afterLines="50" w:line="360" w:lineRule="auto"/>
        <w:rPr>
          <w:rFonts w:ascii="宋体" w:hAnsi="宋体" w:cs="宋体"/>
          <w:b/>
          <w:bCs/>
          <w:sz w:val="24"/>
        </w:rPr>
      </w:pPr>
      <w:r>
        <w:rPr>
          <w:rFonts w:hint="eastAsia" w:ascii="宋体" w:hAnsi="宋体" w:cs="宋体"/>
          <w:b/>
          <w:bCs/>
          <w:sz w:val="24"/>
        </w:rPr>
        <w:t>12、技术资料和交付进度</w:t>
      </w:r>
    </w:p>
    <w:p w14:paraId="3963732A">
      <w:pPr>
        <w:spacing w:after="120" w:afterLines="50" w:line="360" w:lineRule="auto"/>
        <w:ind w:firstLine="480" w:firstLineChars="200"/>
        <w:rPr>
          <w:rFonts w:ascii="宋体" w:hAnsi="宋体" w:cs="宋体"/>
          <w:sz w:val="24"/>
        </w:rPr>
      </w:pPr>
      <w:bookmarkStart w:id="198" w:name="_Toc171936617"/>
      <w:bookmarkStart w:id="199" w:name="_Toc519309271"/>
      <w:bookmarkStart w:id="200" w:name="_Toc171936663"/>
      <w:r>
        <w:rPr>
          <w:rFonts w:hint="eastAsia" w:ascii="宋体" w:hAnsi="宋体" w:cs="宋体"/>
          <w:sz w:val="24"/>
        </w:rPr>
        <w:t>1.一般要求</w:t>
      </w:r>
      <w:bookmarkEnd w:id="198"/>
      <w:bookmarkEnd w:id="199"/>
      <w:bookmarkEnd w:id="200"/>
    </w:p>
    <w:p w14:paraId="65AC78F4">
      <w:pPr>
        <w:spacing w:line="360" w:lineRule="auto"/>
        <w:ind w:firstLine="480" w:firstLineChars="200"/>
        <w:rPr>
          <w:rFonts w:ascii="宋体" w:hAnsi="宋体" w:cs="宋体"/>
          <w:kern w:val="0"/>
          <w:sz w:val="24"/>
        </w:rPr>
      </w:pPr>
      <w:r>
        <w:rPr>
          <w:rFonts w:hint="eastAsia" w:ascii="宋体" w:hAnsi="宋体" w:cs="宋体"/>
          <w:kern w:val="0"/>
          <w:sz w:val="24"/>
        </w:rPr>
        <w:t>1.1资料的组织结构清晰、逻辑性强。资料内容正确、准确、一致、清晰完整，满足工程要求。</w:t>
      </w:r>
    </w:p>
    <w:p w14:paraId="6095F28E">
      <w:pPr>
        <w:spacing w:line="360" w:lineRule="auto"/>
        <w:ind w:firstLine="480" w:firstLineChars="200"/>
        <w:rPr>
          <w:rFonts w:ascii="宋体" w:hAnsi="宋体" w:cs="宋体"/>
          <w:kern w:val="0"/>
          <w:sz w:val="24"/>
        </w:rPr>
      </w:pPr>
      <w:r>
        <w:rPr>
          <w:rFonts w:hint="eastAsia" w:ascii="宋体" w:hAnsi="宋体" w:cs="宋体"/>
          <w:kern w:val="0"/>
          <w:sz w:val="24"/>
        </w:rPr>
        <w:t>1.2投标人资料的提交应及时、充分，满足工程进度要求。在接到中标通知后，5天内提出满足设备基础处理的正式资料，10</w:t>
      </w:r>
      <w:r>
        <w:rPr>
          <w:rFonts w:hint="eastAsia" w:ascii="宋体" w:hAnsi="宋体" w:cs="宋体"/>
          <w:kern w:val="0"/>
          <w:sz w:val="24"/>
          <w:lang w:val="en-US" w:eastAsia="zh-CN"/>
        </w:rPr>
        <w:t>天</w:t>
      </w:r>
      <w:r>
        <w:rPr>
          <w:rFonts w:hint="eastAsia" w:ascii="宋体" w:hAnsi="宋体" w:cs="宋体"/>
          <w:kern w:val="0"/>
          <w:sz w:val="24"/>
        </w:rPr>
        <w:t>内给出全部技术资料和交付进度清单，并经招标方确认。投标方应在合同生效日起1个月内，向招标方提供合同设备的监造、设计、制造和检验标准的目录。</w:t>
      </w:r>
    </w:p>
    <w:p w14:paraId="08367225">
      <w:pPr>
        <w:spacing w:line="360" w:lineRule="auto"/>
        <w:ind w:firstLine="480" w:firstLineChars="200"/>
        <w:rPr>
          <w:rFonts w:ascii="宋体" w:hAnsi="宋体" w:cs="宋体"/>
          <w:kern w:val="0"/>
          <w:sz w:val="24"/>
        </w:rPr>
      </w:pPr>
      <w:r>
        <w:rPr>
          <w:rFonts w:hint="eastAsia" w:ascii="宋体" w:hAnsi="宋体" w:cs="宋体"/>
          <w:kern w:val="0"/>
          <w:sz w:val="24"/>
        </w:rPr>
        <w:t>1.3投标方提供的技术资料分为投标阶段，配合设计阶段，设备监造检验、施工调试试运、性能试验验收和运行维护等四个方面。投标方须满足以上四个方面的具体要求。</w:t>
      </w:r>
    </w:p>
    <w:p w14:paraId="35098EEB">
      <w:pPr>
        <w:spacing w:line="360" w:lineRule="auto"/>
        <w:ind w:firstLine="480" w:firstLineChars="200"/>
        <w:rPr>
          <w:rFonts w:ascii="宋体" w:hAnsi="宋体" w:cs="宋体"/>
          <w:kern w:val="0"/>
          <w:sz w:val="24"/>
        </w:rPr>
      </w:pPr>
      <w:r>
        <w:rPr>
          <w:rFonts w:hint="eastAsia" w:ascii="宋体" w:hAnsi="宋体" w:cs="宋体"/>
          <w:kern w:val="0"/>
          <w:sz w:val="24"/>
        </w:rPr>
        <w:t>1.4对于其它没有列入合同技术资料清单，却是工程所必需文件和资料，一经发现，投标人应及时免费提供。如本期工程为多台设备构成，后续设备有改进时，投标方也应及时免费提供新的技术资料。</w:t>
      </w:r>
    </w:p>
    <w:p w14:paraId="12027A1F">
      <w:pPr>
        <w:spacing w:line="360" w:lineRule="auto"/>
        <w:ind w:firstLine="480" w:firstLineChars="200"/>
        <w:rPr>
          <w:rFonts w:ascii="宋体" w:hAnsi="宋体" w:cs="宋体"/>
          <w:kern w:val="0"/>
          <w:sz w:val="24"/>
        </w:rPr>
      </w:pPr>
      <w:r>
        <w:rPr>
          <w:rFonts w:hint="eastAsia" w:ascii="宋体" w:hAnsi="宋体" w:cs="宋体"/>
          <w:kern w:val="0"/>
          <w:sz w:val="24"/>
        </w:rPr>
        <w:t>1.5招标人要及时提供与合同设备设计制造有关的资料。</w:t>
      </w:r>
    </w:p>
    <w:p w14:paraId="48BE544D">
      <w:pPr>
        <w:spacing w:after="120" w:afterLines="50" w:line="360" w:lineRule="auto"/>
        <w:ind w:firstLine="240" w:firstLineChars="100"/>
        <w:rPr>
          <w:rFonts w:ascii="宋体" w:hAnsi="宋体" w:cs="宋体"/>
          <w:sz w:val="24"/>
        </w:rPr>
      </w:pPr>
      <w:bookmarkStart w:id="201" w:name="_Toc519309272"/>
      <w:bookmarkStart w:id="202" w:name="_Toc171936664"/>
      <w:bookmarkStart w:id="203" w:name="_Toc171936618"/>
      <w:r>
        <w:rPr>
          <w:rFonts w:hint="eastAsia" w:ascii="宋体" w:hAnsi="宋体" w:cs="宋体"/>
          <w:sz w:val="24"/>
        </w:rPr>
        <w:t>2资料提交的基本要求</w:t>
      </w:r>
      <w:bookmarkEnd w:id="201"/>
      <w:bookmarkEnd w:id="202"/>
      <w:bookmarkEnd w:id="203"/>
    </w:p>
    <w:p w14:paraId="324F68F6">
      <w:pPr>
        <w:spacing w:line="360" w:lineRule="auto"/>
        <w:ind w:firstLine="480" w:firstLineChars="200"/>
        <w:rPr>
          <w:rFonts w:ascii="宋体" w:hAnsi="宋体" w:cs="宋体"/>
          <w:kern w:val="0"/>
          <w:sz w:val="24"/>
        </w:rPr>
      </w:pPr>
      <w:r>
        <w:rPr>
          <w:rFonts w:hint="eastAsia" w:ascii="宋体" w:hAnsi="宋体" w:cs="宋体"/>
          <w:kern w:val="0"/>
          <w:sz w:val="24"/>
        </w:rPr>
        <w:t>2.1提供设备安装、调试和试运说明书，以及组装、拆卸时所需用的技术资料。</w:t>
      </w:r>
    </w:p>
    <w:p w14:paraId="1130D25E">
      <w:pPr>
        <w:spacing w:line="360" w:lineRule="auto"/>
        <w:ind w:firstLine="480" w:firstLineChars="200"/>
        <w:rPr>
          <w:rFonts w:ascii="宋体" w:hAnsi="宋体" w:cs="宋体"/>
          <w:kern w:val="0"/>
          <w:sz w:val="24"/>
        </w:rPr>
      </w:pPr>
      <w:r>
        <w:rPr>
          <w:rFonts w:hint="eastAsia" w:ascii="宋体" w:hAnsi="宋体" w:cs="宋体"/>
          <w:kern w:val="0"/>
          <w:sz w:val="24"/>
        </w:rPr>
        <w:t>2.2安装、运行、维护、检修所需详尽图纸和的技术资料(包括设备总图、部件总图、分图和必要的零件图、计算资料等)。</w:t>
      </w:r>
    </w:p>
    <w:p w14:paraId="23B9EEF8">
      <w:pPr>
        <w:spacing w:line="360" w:lineRule="auto"/>
        <w:ind w:firstLine="480" w:firstLineChars="200"/>
        <w:rPr>
          <w:rFonts w:ascii="宋体" w:hAnsi="宋体" w:cs="宋体"/>
          <w:kern w:val="0"/>
          <w:sz w:val="24"/>
        </w:rPr>
      </w:pPr>
      <w:r>
        <w:rPr>
          <w:rFonts w:hint="eastAsia" w:ascii="宋体" w:hAnsi="宋体" w:cs="宋体"/>
          <w:kern w:val="0"/>
          <w:sz w:val="24"/>
        </w:rPr>
        <w:t>2.3设备安装、运行、维护、检修说明书(包括设备结构特点、安装程序和工艺要求、启动调试要领、运行操作规定和控制数据、定期校验和维护说明等)。</w:t>
      </w:r>
    </w:p>
    <w:p w14:paraId="315CBCBA">
      <w:pPr>
        <w:spacing w:line="360" w:lineRule="auto"/>
        <w:ind w:firstLine="480" w:firstLineChars="200"/>
        <w:rPr>
          <w:rFonts w:ascii="宋体" w:hAnsi="宋体" w:cs="宋体"/>
          <w:kern w:val="0"/>
          <w:sz w:val="24"/>
        </w:rPr>
      </w:pPr>
      <w:r>
        <w:rPr>
          <w:rFonts w:hint="eastAsia" w:ascii="宋体" w:hAnsi="宋体" w:cs="宋体"/>
          <w:kern w:val="0"/>
          <w:sz w:val="24"/>
        </w:rPr>
        <w:t>2.4投标方提供的其它技术资料(招标方提供具体清单和要求，投标方细化，招标人确认)。</w:t>
      </w:r>
    </w:p>
    <w:p w14:paraId="6F4BA860">
      <w:pPr>
        <w:spacing w:line="360" w:lineRule="auto"/>
        <w:ind w:firstLine="480" w:firstLineChars="200"/>
        <w:rPr>
          <w:rFonts w:ascii="宋体" w:hAnsi="宋体" w:cs="宋体"/>
          <w:kern w:val="0"/>
          <w:sz w:val="24"/>
        </w:rPr>
      </w:pPr>
      <w:r>
        <w:rPr>
          <w:rFonts w:hint="eastAsia" w:ascii="宋体" w:hAnsi="宋体" w:cs="宋体"/>
          <w:kern w:val="0"/>
          <w:sz w:val="24"/>
        </w:rPr>
        <w:t>2.5检验记录、试验报告及质量合格证等出厂报告。</w:t>
      </w:r>
    </w:p>
    <w:p w14:paraId="0D7672B8">
      <w:pPr>
        <w:spacing w:line="360" w:lineRule="auto"/>
        <w:ind w:firstLine="480" w:firstLineChars="200"/>
        <w:rPr>
          <w:rFonts w:ascii="宋体" w:hAnsi="宋体" w:cs="宋体"/>
          <w:kern w:val="0"/>
          <w:sz w:val="24"/>
        </w:rPr>
      </w:pPr>
      <w:r>
        <w:rPr>
          <w:rFonts w:hint="eastAsia" w:ascii="宋体" w:hAnsi="宋体" w:cs="宋体"/>
          <w:kern w:val="0"/>
          <w:sz w:val="24"/>
        </w:rPr>
        <w:t>2.6投标方提供在设计、制造时所遵循的规范、标准和规程清单。</w:t>
      </w:r>
    </w:p>
    <w:p w14:paraId="1EFC678C">
      <w:pPr>
        <w:spacing w:line="360" w:lineRule="auto"/>
        <w:ind w:firstLine="480" w:firstLineChars="200"/>
        <w:rPr>
          <w:rFonts w:ascii="宋体" w:hAnsi="宋体" w:cs="宋体"/>
          <w:kern w:val="0"/>
          <w:sz w:val="24"/>
        </w:rPr>
      </w:pPr>
      <w:r>
        <w:rPr>
          <w:rFonts w:hint="eastAsia" w:ascii="宋体" w:hAnsi="宋体" w:cs="宋体"/>
          <w:kern w:val="0"/>
          <w:sz w:val="24"/>
        </w:rPr>
        <w:t>2.7设备和备品管理资料文件(包括设备和备品备件发运和装箱的详细资料，设备和备品备件存放与保管的技术要求，运输超重超大件的明细表和外形图)。</w:t>
      </w:r>
    </w:p>
    <w:p w14:paraId="311AC018">
      <w:pPr>
        <w:spacing w:line="360" w:lineRule="auto"/>
        <w:ind w:firstLine="480" w:firstLineChars="200"/>
        <w:rPr>
          <w:rFonts w:ascii="宋体" w:hAnsi="宋体" w:cs="宋体"/>
          <w:kern w:val="0"/>
          <w:sz w:val="24"/>
        </w:rPr>
      </w:pPr>
      <w:r>
        <w:rPr>
          <w:rFonts w:hint="eastAsia" w:ascii="宋体" w:hAnsi="宋体" w:cs="宋体"/>
          <w:kern w:val="0"/>
          <w:sz w:val="24"/>
        </w:rPr>
        <w:t>2.8详细的产品质量文件(包括材质、材质检验、焊接、热处理、加工质量、外形尺寸和性能检验/试验等)的证明。</w:t>
      </w:r>
    </w:p>
    <w:p w14:paraId="78481707">
      <w:pPr>
        <w:spacing w:line="360" w:lineRule="auto"/>
        <w:ind w:firstLine="480" w:firstLineChars="200"/>
        <w:rPr>
          <w:rFonts w:ascii="宋体" w:hAnsi="宋体" w:cs="宋体"/>
          <w:kern w:val="0"/>
          <w:sz w:val="24"/>
        </w:rPr>
      </w:pPr>
      <w:r>
        <w:rPr>
          <w:rFonts w:hint="eastAsia" w:ascii="宋体" w:hAnsi="宋体" w:cs="宋体"/>
          <w:kern w:val="0"/>
          <w:sz w:val="24"/>
        </w:rPr>
        <w:t>2.9投标方所供所有设备必须附带设备说明书、质量检验合格证等相关资料，对于进口部件及设备须提供原产地证明，对于压力容器及压力部件应提供相关的检验资料。</w:t>
      </w:r>
    </w:p>
    <w:p w14:paraId="181DDC1C">
      <w:pPr>
        <w:spacing w:after="120" w:afterLines="50" w:line="360" w:lineRule="auto"/>
        <w:rPr>
          <w:rFonts w:ascii="宋体" w:hAnsi="宋体" w:cs="宋体"/>
          <w:b/>
          <w:bCs/>
          <w:sz w:val="24"/>
        </w:rPr>
      </w:pPr>
      <w:r>
        <w:rPr>
          <w:rFonts w:hint="eastAsia" w:ascii="宋体" w:hAnsi="宋体" w:cs="宋体"/>
          <w:b/>
          <w:bCs/>
          <w:sz w:val="24"/>
        </w:rPr>
        <w:t>13 技术服务和联络</w:t>
      </w:r>
    </w:p>
    <w:p w14:paraId="24BA15C7">
      <w:pPr>
        <w:adjustRightInd w:val="0"/>
        <w:snapToGrid w:val="0"/>
        <w:spacing w:line="360" w:lineRule="auto"/>
        <w:ind w:firstLine="480" w:firstLineChars="200"/>
        <w:rPr>
          <w:rFonts w:ascii="宋体" w:hAnsi="宋体" w:cs="宋体"/>
          <w:kern w:val="0"/>
          <w:sz w:val="24"/>
        </w:rPr>
      </w:pPr>
      <w:bookmarkStart w:id="204" w:name="_Toc82272386"/>
      <w:bookmarkStart w:id="205" w:name="_Toc82272092"/>
      <w:bookmarkStart w:id="206" w:name="_Toc99814338"/>
      <w:bookmarkStart w:id="207" w:name="_Toc81171486"/>
      <w:r>
        <w:rPr>
          <w:rFonts w:hint="eastAsia" w:ascii="宋体" w:hAnsi="宋体" w:cs="宋体"/>
          <w:kern w:val="0"/>
          <w:sz w:val="24"/>
        </w:rPr>
        <w:t>1.投标人技术人员的派遣</w:t>
      </w:r>
      <w:bookmarkEnd w:id="204"/>
      <w:bookmarkEnd w:id="205"/>
      <w:bookmarkEnd w:id="206"/>
      <w:bookmarkEnd w:id="207"/>
    </w:p>
    <w:p w14:paraId="09047BED">
      <w:pPr>
        <w:adjustRightInd w:val="0"/>
        <w:snapToGrid w:val="0"/>
        <w:spacing w:line="360" w:lineRule="auto"/>
        <w:ind w:firstLine="360" w:firstLineChars="150"/>
        <w:rPr>
          <w:rFonts w:ascii="宋体" w:hAnsi="宋体" w:cs="宋体"/>
          <w:kern w:val="0"/>
          <w:sz w:val="24"/>
        </w:rPr>
      </w:pPr>
      <w:r>
        <w:rPr>
          <w:rFonts w:hint="eastAsia" w:ascii="宋体" w:hAnsi="宋体" w:cs="宋体"/>
          <w:kern w:val="0"/>
          <w:sz w:val="24"/>
        </w:rPr>
        <w:t>为了使除尘系统的设备安装、调试运行和考核验收的顺利进行，投标人应向招标人派遣技术熟练的、身体健康的、称职的技术人员到项目现场进行技术服务。</w:t>
      </w:r>
    </w:p>
    <w:p w14:paraId="14BC383F">
      <w:pPr>
        <w:adjustRightInd w:val="0"/>
        <w:snapToGrid w:val="0"/>
        <w:spacing w:line="360" w:lineRule="auto"/>
        <w:ind w:firstLine="480" w:firstLineChars="200"/>
        <w:rPr>
          <w:rFonts w:ascii="宋体" w:hAnsi="宋体" w:cs="宋体"/>
          <w:kern w:val="0"/>
          <w:sz w:val="24"/>
        </w:rPr>
      </w:pPr>
      <w:bookmarkStart w:id="208" w:name="_Toc82272093"/>
      <w:bookmarkStart w:id="209" w:name="_Toc99814339"/>
      <w:bookmarkStart w:id="210" w:name="_Toc82272387"/>
      <w:bookmarkStart w:id="211" w:name="_Toc81171487"/>
      <w:r>
        <w:rPr>
          <w:rFonts w:hint="eastAsia" w:ascii="宋体" w:hAnsi="宋体" w:cs="宋体"/>
          <w:kern w:val="0"/>
          <w:sz w:val="24"/>
        </w:rPr>
        <w:t>2.投标人技术人员的职责和义务</w:t>
      </w:r>
      <w:bookmarkEnd w:id="208"/>
      <w:bookmarkEnd w:id="209"/>
      <w:bookmarkEnd w:id="210"/>
      <w:bookmarkEnd w:id="211"/>
    </w:p>
    <w:p w14:paraId="41C47273">
      <w:pPr>
        <w:adjustRightInd w:val="0"/>
        <w:snapToGrid w:val="0"/>
        <w:spacing w:line="360" w:lineRule="auto"/>
        <w:ind w:firstLine="720" w:firstLineChars="300"/>
        <w:rPr>
          <w:rFonts w:ascii="宋体" w:hAnsi="宋体" w:cs="宋体"/>
          <w:kern w:val="0"/>
          <w:sz w:val="24"/>
        </w:rPr>
      </w:pPr>
      <w:r>
        <w:rPr>
          <w:rFonts w:hint="eastAsia" w:ascii="宋体" w:hAnsi="宋体" w:cs="宋体"/>
          <w:kern w:val="0"/>
          <w:sz w:val="24"/>
        </w:rPr>
        <w:t xml:space="preserve">2.1投标人应在所派遣的人员中指定一名为合同现场的总代表，全面负责本项目范围内总的技术任务，并与招标人现场合作协商，解决有关工作和技术问题。 </w:t>
      </w:r>
    </w:p>
    <w:p w14:paraId="5B56C435">
      <w:pPr>
        <w:adjustRightInd w:val="0"/>
        <w:snapToGrid w:val="0"/>
        <w:spacing w:line="360" w:lineRule="auto"/>
        <w:ind w:firstLine="720" w:firstLineChars="300"/>
        <w:rPr>
          <w:rFonts w:ascii="宋体" w:hAnsi="宋体" w:cs="宋体"/>
          <w:kern w:val="0"/>
          <w:sz w:val="24"/>
        </w:rPr>
      </w:pPr>
      <w:r>
        <w:rPr>
          <w:rFonts w:hint="eastAsia" w:ascii="宋体" w:hAnsi="宋体" w:cs="宋体"/>
          <w:kern w:val="0"/>
          <w:sz w:val="24"/>
        </w:rPr>
        <w:t>2.2投标人的技术人员将代表投标人提供合同规定的有关安装、调试运转、系统运行和考核验收等方面的技术服务。</w:t>
      </w:r>
    </w:p>
    <w:p w14:paraId="4C88C8D2">
      <w:pPr>
        <w:adjustRightInd w:val="0"/>
        <w:snapToGrid w:val="0"/>
        <w:spacing w:line="360" w:lineRule="auto"/>
        <w:ind w:firstLine="720" w:firstLineChars="300"/>
        <w:rPr>
          <w:rFonts w:ascii="宋体" w:hAnsi="宋体" w:cs="宋体"/>
          <w:kern w:val="0"/>
          <w:sz w:val="24"/>
        </w:rPr>
      </w:pPr>
      <w:r>
        <w:rPr>
          <w:rFonts w:hint="eastAsia" w:ascii="宋体" w:hAnsi="宋体" w:cs="宋体"/>
          <w:kern w:val="0"/>
          <w:sz w:val="24"/>
        </w:rPr>
        <w:t>2.3投标人应做到技术指导正确。如因指导错误所造成的“设备”的损失，应由投标人负责更换、修理和补齐，费用由投标人承担。</w:t>
      </w:r>
      <w:bookmarkStart w:id="212" w:name="_Toc81171490"/>
      <w:bookmarkStart w:id="213" w:name="_Toc82272096"/>
      <w:bookmarkStart w:id="214" w:name="_Toc82272390"/>
      <w:bookmarkStart w:id="215" w:name="_Toc99814342"/>
    </w:p>
    <w:bookmarkEnd w:id="212"/>
    <w:bookmarkEnd w:id="213"/>
    <w:bookmarkEnd w:id="214"/>
    <w:bookmarkEnd w:id="215"/>
    <w:p w14:paraId="7AB87326">
      <w:pPr>
        <w:spacing w:after="120" w:afterLines="50" w:line="360" w:lineRule="auto"/>
        <w:rPr>
          <w:rFonts w:ascii="宋体" w:hAnsi="宋体" w:cs="宋体"/>
          <w:b/>
          <w:bCs/>
          <w:sz w:val="24"/>
        </w:rPr>
      </w:pPr>
      <w:r>
        <w:rPr>
          <w:rFonts w:hint="eastAsia" w:ascii="宋体" w:hAnsi="宋体" w:cs="宋体"/>
          <w:b/>
          <w:bCs/>
          <w:sz w:val="24"/>
        </w:rPr>
        <w:t>14、售后服务</w:t>
      </w:r>
    </w:p>
    <w:p w14:paraId="1CFF642C">
      <w:pPr>
        <w:adjustRightInd w:val="0"/>
        <w:snapToGrid w:val="0"/>
        <w:spacing w:line="360" w:lineRule="auto"/>
        <w:ind w:firstLine="240" w:firstLineChars="100"/>
        <w:rPr>
          <w:rFonts w:ascii="宋体" w:hAnsi="宋体" w:cs="宋体"/>
          <w:kern w:val="0"/>
          <w:sz w:val="24"/>
        </w:rPr>
      </w:pPr>
      <w:r>
        <w:rPr>
          <w:rFonts w:hint="eastAsia" w:ascii="宋体" w:hAnsi="宋体" w:cs="宋体"/>
          <w:kern w:val="0"/>
          <w:sz w:val="24"/>
        </w:rPr>
        <w:t>1.投标人应提供售后服务的就近网点，售后服务的负责人，联系方式；</w:t>
      </w:r>
    </w:p>
    <w:p w14:paraId="54FF780C">
      <w:pPr>
        <w:adjustRightInd w:val="0"/>
        <w:snapToGrid w:val="0"/>
        <w:spacing w:line="360" w:lineRule="auto"/>
        <w:ind w:firstLine="240" w:firstLineChars="100"/>
        <w:rPr>
          <w:rFonts w:ascii="宋体" w:hAnsi="宋体" w:cs="宋体"/>
          <w:kern w:val="0"/>
          <w:sz w:val="24"/>
        </w:rPr>
      </w:pPr>
      <w:r>
        <w:rPr>
          <w:rFonts w:hint="eastAsia" w:ascii="宋体" w:hAnsi="宋体" w:cs="宋体"/>
          <w:kern w:val="0"/>
          <w:sz w:val="24"/>
        </w:rPr>
        <w:t>2.招标人在日后生产过程中出现的故障，招标人不能自行解决，联系售后服务，投标人的服务人员应在接到通知后省内有服务人员应在12小时内到达现场，省外有服务人员的应在24小时内到达现场。</w:t>
      </w:r>
    </w:p>
    <w:p w14:paraId="4B900092">
      <w:pPr>
        <w:adjustRightInd w:val="0"/>
        <w:snapToGrid w:val="0"/>
        <w:spacing w:line="360" w:lineRule="auto"/>
        <w:ind w:firstLine="240" w:firstLineChars="100"/>
        <w:rPr>
          <w:rFonts w:ascii="宋体" w:hAnsi="宋体" w:cs="宋体"/>
          <w:kern w:val="0"/>
          <w:sz w:val="24"/>
        </w:rPr>
      </w:pPr>
      <w:r>
        <w:rPr>
          <w:rFonts w:hint="eastAsia" w:ascii="宋体" w:hAnsi="宋体" w:cs="宋体"/>
          <w:kern w:val="0"/>
          <w:sz w:val="24"/>
        </w:rPr>
        <w:t>3.质保期内的售后服务所产生所有费用由投标人负责；质保期过后投标人应定期回访，进行维护指导。</w:t>
      </w:r>
    </w:p>
    <w:p w14:paraId="6477DC40"/>
    <w:p w14:paraId="68EBBC39"/>
    <w:p w14:paraId="5199FDD1">
      <w:pPr>
        <w:spacing w:line="360" w:lineRule="auto"/>
        <w:rPr>
          <w:rFonts w:cs="Arial"/>
          <w:b/>
          <w:sz w:val="24"/>
        </w:rPr>
      </w:pPr>
      <w:r>
        <w:rPr>
          <w:rFonts w:hint="eastAsia" w:cs="Arial"/>
          <w:b/>
          <w:sz w:val="24"/>
        </w:rPr>
        <w:t>双方签字：</w:t>
      </w:r>
    </w:p>
    <w:tbl>
      <w:tblPr>
        <w:tblStyle w:val="14"/>
        <w:tblW w:w="52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897"/>
      </w:tblGrid>
      <w:tr w14:paraId="4790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508" w:type="pct"/>
            <w:vAlign w:val="center"/>
          </w:tcPr>
          <w:p w14:paraId="4F3DA329">
            <w:pPr>
              <w:spacing w:line="360" w:lineRule="auto"/>
              <w:rPr>
                <w:rFonts w:ascii="宋体" w:hAnsi="宋体"/>
              </w:rPr>
            </w:pPr>
            <w:r>
              <w:rPr>
                <w:rFonts w:hint="eastAsia" w:ascii="宋体" w:hAnsi="宋体"/>
              </w:rPr>
              <w:t>甲  方：湖南省湘澧盐化有限责任公司</w:t>
            </w:r>
          </w:p>
          <w:p w14:paraId="506A9040">
            <w:pPr>
              <w:spacing w:line="360" w:lineRule="auto"/>
              <w:ind w:left="840" w:hanging="840" w:hangingChars="400"/>
              <w:rPr>
                <w:rFonts w:ascii="宋体" w:hAnsi="宋体"/>
              </w:rPr>
            </w:pPr>
            <w:r>
              <w:rPr>
                <w:rFonts w:hint="eastAsia" w:ascii="宋体" w:hAnsi="宋体"/>
              </w:rPr>
              <w:t>住  所：常德市津市市襄阳街办事处盐矿社区</w:t>
            </w:r>
          </w:p>
          <w:p w14:paraId="7C1EDDB6">
            <w:pPr>
              <w:spacing w:line="360" w:lineRule="auto"/>
              <w:ind w:right="536"/>
              <w:rPr>
                <w:rFonts w:ascii="新宋体" w:eastAsia="新宋体"/>
                <w:szCs w:val="21"/>
              </w:rPr>
            </w:pPr>
            <w:r>
              <w:rPr>
                <w:rFonts w:hint="eastAsia" w:ascii="新宋体" w:eastAsia="新宋体"/>
                <w:szCs w:val="21"/>
              </w:rPr>
              <w:t>开户银行：工商银行津市市支行</w:t>
            </w:r>
          </w:p>
          <w:p w14:paraId="4E422C26">
            <w:pPr>
              <w:spacing w:line="360" w:lineRule="auto"/>
              <w:ind w:left="840" w:hanging="840" w:hangingChars="400"/>
              <w:rPr>
                <w:rFonts w:ascii="宋体" w:hAnsi="宋体" w:eastAsia="新宋体"/>
              </w:rPr>
            </w:pPr>
            <w:r>
              <w:rPr>
                <w:rFonts w:hint="eastAsia" w:ascii="新宋体" w:eastAsia="新宋体"/>
                <w:szCs w:val="21"/>
              </w:rPr>
              <w:t>帐    号</w:t>
            </w:r>
            <w:r>
              <w:rPr>
                <w:rFonts w:hint="eastAsia" w:ascii="新宋体" w:eastAsia="新宋体"/>
                <w:sz w:val="24"/>
              </w:rPr>
              <w:t>：1908071609022107558</w:t>
            </w:r>
          </w:p>
          <w:p w14:paraId="679315B2">
            <w:pPr>
              <w:spacing w:line="360" w:lineRule="auto"/>
              <w:rPr>
                <w:rFonts w:ascii="宋体" w:hAnsi="宋体"/>
              </w:rPr>
            </w:pPr>
            <w:r>
              <w:rPr>
                <w:rFonts w:hint="eastAsia" w:ascii="宋体" w:hAnsi="宋体"/>
              </w:rPr>
              <w:t xml:space="preserve">法定代表人或委托人：  </w:t>
            </w:r>
          </w:p>
          <w:p w14:paraId="33D9BC41">
            <w:pPr>
              <w:spacing w:line="360" w:lineRule="auto"/>
              <w:rPr>
                <w:rFonts w:ascii="宋体" w:hAnsi="宋体"/>
              </w:rPr>
            </w:pPr>
          </w:p>
          <w:p w14:paraId="5E889EE6">
            <w:pPr>
              <w:spacing w:line="360" w:lineRule="auto"/>
              <w:rPr>
                <w:rFonts w:ascii="宋体" w:hAnsi="宋体"/>
              </w:rPr>
            </w:pPr>
            <w:r>
              <w:rPr>
                <w:rFonts w:hint="eastAsia" w:ascii="宋体" w:hAnsi="宋体"/>
              </w:rPr>
              <w:t>日  期：</w:t>
            </w:r>
          </w:p>
        </w:tc>
        <w:tc>
          <w:tcPr>
            <w:tcW w:w="2492" w:type="pct"/>
            <w:vAlign w:val="center"/>
          </w:tcPr>
          <w:p w14:paraId="16520480">
            <w:pPr>
              <w:spacing w:line="360" w:lineRule="auto"/>
              <w:ind w:left="1680" w:hanging="1680" w:hangingChars="800"/>
              <w:rPr>
                <w:rFonts w:ascii="宋体" w:hAnsi="宋体"/>
              </w:rPr>
            </w:pPr>
            <w:r>
              <w:rPr>
                <w:rFonts w:hint="eastAsia" w:ascii="宋体" w:hAnsi="宋体"/>
              </w:rPr>
              <w:t xml:space="preserve">乙  方： </w:t>
            </w:r>
          </w:p>
          <w:p w14:paraId="4B3F0FBB">
            <w:pPr>
              <w:spacing w:line="360" w:lineRule="auto"/>
              <w:ind w:left="945" w:hanging="945" w:hangingChars="450"/>
              <w:rPr>
                <w:rFonts w:ascii="宋体" w:hAnsi="宋体"/>
              </w:rPr>
            </w:pPr>
            <w:r>
              <w:rPr>
                <w:rFonts w:hint="eastAsia" w:ascii="宋体" w:hAnsi="宋体"/>
              </w:rPr>
              <w:t>住  所：</w:t>
            </w:r>
          </w:p>
          <w:p w14:paraId="392BDA3E">
            <w:pPr>
              <w:spacing w:line="360" w:lineRule="auto"/>
              <w:ind w:right="536"/>
              <w:rPr>
                <w:rFonts w:ascii="新宋体" w:eastAsia="新宋体"/>
                <w:szCs w:val="21"/>
              </w:rPr>
            </w:pPr>
            <w:r>
              <w:rPr>
                <w:rFonts w:hint="eastAsia" w:ascii="新宋体" w:eastAsia="新宋体"/>
                <w:szCs w:val="21"/>
              </w:rPr>
              <w:t>开户银行：</w:t>
            </w:r>
          </w:p>
          <w:p w14:paraId="30CC73AC">
            <w:pPr>
              <w:spacing w:line="360" w:lineRule="auto"/>
              <w:ind w:left="840" w:hanging="840" w:hangingChars="400"/>
              <w:rPr>
                <w:rFonts w:ascii="宋体" w:hAnsi="宋体"/>
              </w:rPr>
            </w:pPr>
            <w:r>
              <w:rPr>
                <w:rFonts w:hint="eastAsia" w:ascii="新宋体" w:eastAsia="新宋体"/>
                <w:szCs w:val="21"/>
              </w:rPr>
              <w:t>帐    号</w:t>
            </w:r>
            <w:r>
              <w:rPr>
                <w:rFonts w:hint="eastAsia" w:ascii="新宋体" w:eastAsia="新宋体"/>
                <w:sz w:val="24"/>
              </w:rPr>
              <w:t>：</w:t>
            </w:r>
          </w:p>
          <w:p w14:paraId="6EEC53B9">
            <w:pPr>
              <w:spacing w:line="360" w:lineRule="auto"/>
              <w:rPr>
                <w:rFonts w:ascii="宋体" w:hAnsi="宋体"/>
              </w:rPr>
            </w:pPr>
            <w:r>
              <w:rPr>
                <w:rFonts w:hint="eastAsia" w:ascii="宋体" w:hAnsi="宋体"/>
              </w:rPr>
              <w:t xml:space="preserve">法定代表人或委托人： </w:t>
            </w:r>
          </w:p>
          <w:p w14:paraId="25DEF663">
            <w:pPr>
              <w:spacing w:line="360" w:lineRule="auto"/>
              <w:rPr>
                <w:rFonts w:ascii="宋体" w:hAnsi="宋体"/>
              </w:rPr>
            </w:pPr>
          </w:p>
          <w:p w14:paraId="539DA013">
            <w:pPr>
              <w:spacing w:line="360" w:lineRule="auto"/>
              <w:rPr>
                <w:rFonts w:ascii="宋体" w:hAnsi="宋体"/>
              </w:rPr>
            </w:pPr>
            <w:r>
              <w:rPr>
                <w:rFonts w:hint="eastAsia" w:ascii="宋体" w:hAnsi="宋体"/>
              </w:rPr>
              <w:t xml:space="preserve">日  期： </w:t>
            </w:r>
          </w:p>
        </w:tc>
      </w:tr>
    </w:tbl>
    <w:p w14:paraId="10C82FDB">
      <w:pPr>
        <w:jc w:val="left"/>
      </w:pPr>
    </w:p>
    <w:sectPr>
      <w:pgSz w:w="11906" w:h="16838"/>
      <w:pgMar w:top="1440"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831C">
    <w:pPr>
      <w:pStyle w:val="1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792A5">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5792A5">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EC1AD">
    <w:pPr>
      <w:pStyle w:val="7"/>
      <w:spacing w:line="14" w:lineRule="auto"/>
      <w:rPr>
        <w:sz w:val="13"/>
      </w:rPr>
    </w:pPr>
    <w:r>
      <w:rPr>
        <w:sz w:val="13"/>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37C88">
                          <w:pPr>
                            <w:pStyle w:val="11"/>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E37C88">
                    <w:pPr>
                      <w:pStyle w:val="11"/>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942FE"/>
    <w:multiLevelType w:val="multilevel"/>
    <w:tmpl w:val="F4A942FE"/>
    <w:lvl w:ilvl="0" w:tentative="0">
      <w:start w:val="1"/>
      <w:numFmt w:val="decimal"/>
      <w:lvlText w:val="（%1）"/>
      <w:lvlJc w:val="left"/>
      <w:pPr>
        <w:ind w:left="93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4" w:hanging="601"/>
      </w:pPr>
      <w:rPr>
        <w:rFonts w:hint="default"/>
        <w:lang w:val="zh-CN" w:eastAsia="zh-CN" w:bidi="zh-CN"/>
      </w:rPr>
    </w:lvl>
    <w:lvl w:ilvl="2" w:tentative="0">
      <w:start w:val="0"/>
      <w:numFmt w:val="bullet"/>
      <w:lvlText w:val="•"/>
      <w:lvlJc w:val="left"/>
      <w:pPr>
        <w:ind w:left="2688" w:hanging="601"/>
      </w:pPr>
      <w:rPr>
        <w:rFonts w:hint="default"/>
        <w:lang w:val="zh-CN" w:eastAsia="zh-CN" w:bidi="zh-CN"/>
      </w:rPr>
    </w:lvl>
    <w:lvl w:ilvl="3" w:tentative="0">
      <w:start w:val="0"/>
      <w:numFmt w:val="bullet"/>
      <w:lvlText w:val="•"/>
      <w:lvlJc w:val="left"/>
      <w:pPr>
        <w:ind w:left="3562" w:hanging="601"/>
      </w:pPr>
      <w:rPr>
        <w:rFonts w:hint="default"/>
        <w:lang w:val="zh-CN" w:eastAsia="zh-CN" w:bidi="zh-CN"/>
      </w:rPr>
    </w:lvl>
    <w:lvl w:ilvl="4" w:tentative="0">
      <w:start w:val="0"/>
      <w:numFmt w:val="bullet"/>
      <w:lvlText w:val="•"/>
      <w:lvlJc w:val="left"/>
      <w:pPr>
        <w:ind w:left="4436" w:hanging="601"/>
      </w:pPr>
      <w:rPr>
        <w:rFonts w:hint="default"/>
        <w:lang w:val="zh-CN" w:eastAsia="zh-CN" w:bidi="zh-CN"/>
      </w:rPr>
    </w:lvl>
    <w:lvl w:ilvl="5" w:tentative="0">
      <w:start w:val="0"/>
      <w:numFmt w:val="bullet"/>
      <w:lvlText w:val="•"/>
      <w:lvlJc w:val="left"/>
      <w:pPr>
        <w:ind w:left="5310" w:hanging="601"/>
      </w:pPr>
      <w:rPr>
        <w:rFonts w:hint="default"/>
        <w:lang w:val="zh-CN" w:eastAsia="zh-CN" w:bidi="zh-CN"/>
      </w:rPr>
    </w:lvl>
    <w:lvl w:ilvl="6" w:tentative="0">
      <w:start w:val="0"/>
      <w:numFmt w:val="bullet"/>
      <w:lvlText w:val="•"/>
      <w:lvlJc w:val="left"/>
      <w:pPr>
        <w:ind w:left="6184" w:hanging="601"/>
      </w:pPr>
      <w:rPr>
        <w:rFonts w:hint="default"/>
        <w:lang w:val="zh-CN" w:eastAsia="zh-CN" w:bidi="zh-CN"/>
      </w:rPr>
    </w:lvl>
    <w:lvl w:ilvl="7" w:tentative="0">
      <w:start w:val="0"/>
      <w:numFmt w:val="bullet"/>
      <w:lvlText w:val="•"/>
      <w:lvlJc w:val="left"/>
      <w:pPr>
        <w:ind w:left="7058" w:hanging="601"/>
      </w:pPr>
      <w:rPr>
        <w:rFonts w:hint="default"/>
        <w:lang w:val="zh-CN" w:eastAsia="zh-CN" w:bidi="zh-CN"/>
      </w:rPr>
    </w:lvl>
    <w:lvl w:ilvl="8" w:tentative="0">
      <w:start w:val="0"/>
      <w:numFmt w:val="bullet"/>
      <w:lvlText w:val="•"/>
      <w:lvlJc w:val="left"/>
      <w:pPr>
        <w:ind w:left="7932" w:hanging="601"/>
      </w:pPr>
      <w:rPr>
        <w:rFonts w:hint="default"/>
        <w:lang w:val="zh-CN" w:eastAsia="zh-CN" w:bidi="zh-CN"/>
      </w:rPr>
    </w:lvl>
  </w:abstractNum>
  <w:abstractNum w:abstractNumId="1">
    <w:nsid w:val="010B3077"/>
    <w:multiLevelType w:val="multilevel"/>
    <w:tmpl w:val="010B3077"/>
    <w:lvl w:ilvl="0" w:tentative="0">
      <w:start w:val="1"/>
      <w:numFmt w:val="decimal"/>
      <w:lvlText w:val="%1."/>
      <w:lvlJc w:val="left"/>
      <w:pPr>
        <w:tabs>
          <w:tab w:val="left" w:pos="360"/>
        </w:tabs>
        <w:ind w:left="360" w:hanging="360"/>
      </w:pPr>
      <w:rPr>
        <w:rFonts w:hint="default" w:eastAsia="黑体"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FED4571"/>
    <w:multiLevelType w:val="singleLevel"/>
    <w:tmpl w:val="3FED4571"/>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WZkMjNiMDA3Y2VmM2NkODM0YjE4MWYwOTg2ZmQifQ=="/>
    <w:docVar w:name="KSO_WPS_MARK_KEY" w:val="df32aa76-0d45-4502-aef2-00656199029d"/>
  </w:docVars>
  <w:rsids>
    <w:rsidRoot w:val="008F4CE0"/>
    <w:rsid w:val="000210DD"/>
    <w:rsid w:val="0005142A"/>
    <w:rsid w:val="000514E5"/>
    <w:rsid w:val="000835F8"/>
    <w:rsid w:val="000C1E0E"/>
    <w:rsid w:val="000C43E3"/>
    <w:rsid w:val="000C6DF5"/>
    <w:rsid w:val="0010798C"/>
    <w:rsid w:val="00120FD8"/>
    <w:rsid w:val="00134158"/>
    <w:rsid w:val="00140D8C"/>
    <w:rsid w:val="0014546B"/>
    <w:rsid w:val="001479A1"/>
    <w:rsid w:val="0015261C"/>
    <w:rsid w:val="00152C17"/>
    <w:rsid w:val="0018755D"/>
    <w:rsid w:val="001A6114"/>
    <w:rsid w:val="001B09FA"/>
    <w:rsid w:val="001C0D36"/>
    <w:rsid w:val="001E74CD"/>
    <w:rsid w:val="001F1B6A"/>
    <w:rsid w:val="0021495A"/>
    <w:rsid w:val="00220A1D"/>
    <w:rsid w:val="00222755"/>
    <w:rsid w:val="0023482C"/>
    <w:rsid w:val="002710D3"/>
    <w:rsid w:val="00290970"/>
    <w:rsid w:val="002A2D13"/>
    <w:rsid w:val="00331623"/>
    <w:rsid w:val="0033756D"/>
    <w:rsid w:val="003860B8"/>
    <w:rsid w:val="003D69EE"/>
    <w:rsid w:val="003E0B59"/>
    <w:rsid w:val="00410641"/>
    <w:rsid w:val="00422F3B"/>
    <w:rsid w:val="00497DE6"/>
    <w:rsid w:val="004B7FB1"/>
    <w:rsid w:val="004C69AE"/>
    <w:rsid w:val="004E60EA"/>
    <w:rsid w:val="004E6708"/>
    <w:rsid w:val="00506222"/>
    <w:rsid w:val="005751DF"/>
    <w:rsid w:val="00591511"/>
    <w:rsid w:val="005C0D92"/>
    <w:rsid w:val="005F32EF"/>
    <w:rsid w:val="005F4DAB"/>
    <w:rsid w:val="006076FE"/>
    <w:rsid w:val="0062439F"/>
    <w:rsid w:val="00633DED"/>
    <w:rsid w:val="00647C1D"/>
    <w:rsid w:val="00666DE8"/>
    <w:rsid w:val="00674A37"/>
    <w:rsid w:val="006A3E7F"/>
    <w:rsid w:val="006D1E05"/>
    <w:rsid w:val="00756506"/>
    <w:rsid w:val="00766894"/>
    <w:rsid w:val="007754A6"/>
    <w:rsid w:val="007A59B1"/>
    <w:rsid w:val="007D6D0B"/>
    <w:rsid w:val="007E4E23"/>
    <w:rsid w:val="008032C8"/>
    <w:rsid w:val="00820143"/>
    <w:rsid w:val="00832A14"/>
    <w:rsid w:val="00835861"/>
    <w:rsid w:val="008562A7"/>
    <w:rsid w:val="00886699"/>
    <w:rsid w:val="008D2549"/>
    <w:rsid w:val="008F4CE0"/>
    <w:rsid w:val="00912CF6"/>
    <w:rsid w:val="0092743A"/>
    <w:rsid w:val="009515CD"/>
    <w:rsid w:val="00966FA1"/>
    <w:rsid w:val="009926B8"/>
    <w:rsid w:val="009B5D02"/>
    <w:rsid w:val="009D2452"/>
    <w:rsid w:val="009D564E"/>
    <w:rsid w:val="009E00D3"/>
    <w:rsid w:val="00A206DD"/>
    <w:rsid w:val="00A40158"/>
    <w:rsid w:val="00A5654D"/>
    <w:rsid w:val="00AA5A72"/>
    <w:rsid w:val="00AB126D"/>
    <w:rsid w:val="00AC4DCE"/>
    <w:rsid w:val="00AE1EF1"/>
    <w:rsid w:val="00AE29FE"/>
    <w:rsid w:val="00B00B78"/>
    <w:rsid w:val="00B2094F"/>
    <w:rsid w:val="00B31EED"/>
    <w:rsid w:val="00B64F67"/>
    <w:rsid w:val="00B705A1"/>
    <w:rsid w:val="00BB4ECA"/>
    <w:rsid w:val="00BC509E"/>
    <w:rsid w:val="00BD5B54"/>
    <w:rsid w:val="00C03225"/>
    <w:rsid w:val="00C27A84"/>
    <w:rsid w:val="00D20D21"/>
    <w:rsid w:val="00D342B7"/>
    <w:rsid w:val="00D54184"/>
    <w:rsid w:val="00D8082C"/>
    <w:rsid w:val="00DE71E4"/>
    <w:rsid w:val="00E04B87"/>
    <w:rsid w:val="00E13867"/>
    <w:rsid w:val="00E24586"/>
    <w:rsid w:val="00E345D0"/>
    <w:rsid w:val="00E4294F"/>
    <w:rsid w:val="00E43B93"/>
    <w:rsid w:val="00E56BEE"/>
    <w:rsid w:val="00E63917"/>
    <w:rsid w:val="00EF7483"/>
    <w:rsid w:val="00F73B9A"/>
    <w:rsid w:val="00F8173C"/>
    <w:rsid w:val="00F84528"/>
    <w:rsid w:val="00FA385B"/>
    <w:rsid w:val="00FC39E6"/>
    <w:rsid w:val="00FD250F"/>
    <w:rsid w:val="00FD485A"/>
    <w:rsid w:val="00FD5964"/>
    <w:rsid w:val="04175010"/>
    <w:rsid w:val="054B0105"/>
    <w:rsid w:val="08BC2B27"/>
    <w:rsid w:val="0AF32C49"/>
    <w:rsid w:val="0B035C4C"/>
    <w:rsid w:val="0E5159FB"/>
    <w:rsid w:val="10FB2BF7"/>
    <w:rsid w:val="137C575E"/>
    <w:rsid w:val="1676477B"/>
    <w:rsid w:val="17D45398"/>
    <w:rsid w:val="18553600"/>
    <w:rsid w:val="1B1744D1"/>
    <w:rsid w:val="1C386971"/>
    <w:rsid w:val="1CE32387"/>
    <w:rsid w:val="1FE016A9"/>
    <w:rsid w:val="22044839"/>
    <w:rsid w:val="25284930"/>
    <w:rsid w:val="2B771A38"/>
    <w:rsid w:val="2E283D2E"/>
    <w:rsid w:val="30BE03D2"/>
    <w:rsid w:val="32667F8B"/>
    <w:rsid w:val="34091097"/>
    <w:rsid w:val="34EE2B61"/>
    <w:rsid w:val="371E0226"/>
    <w:rsid w:val="37F42337"/>
    <w:rsid w:val="37F65BD2"/>
    <w:rsid w:val="38B37316"/>
    <w:rsid w:val="391A52DB"/>
    <w:rsid w:val="3B661853"/>
    <w:rsid w:val="3E1D1CB5"/>
    <w:rsid w:val="3E464D91"/>
    <w:rsid w:val="3EEC7BC8"/>
    <w:rsid w:val="3F57087A"/>
    <w:rsid w:val="3FC402C6"/>
    <w:rsid w:val="42E8493F"/>
    <w:rsid w:val="44D424D1"/>
    <w:rsid w:val="48BC3C9E"/>
    <w:rsid w:val="4FFC0D0F"/>
    <w:rsid w:val="5052542C"/>
    <w:rsid w:val="52B03878"/>
    <w:rsid w:val="54E74394"/>
    <w:rsid w:val="557604E7"/>
    <w:rsid w:val="58150567"/>
    <w:rsid w:val="5D40005D"/>
    <w:rsid w:val="5D6C5821"/>
    <w:rsid w:val="5E8660A4"/>
    <w:rsid w:val="608F4431"/>
    <w:rsid w:val="66215314"/>
    <w:rsid w:val="688F7BB7"/>
    <w:rsid w:val="6C6E7E0B"/>
    <w:rsid w:val="6FFD6FCF"/>
    <w:rsid w:val="7168210E"/>
    <w:rsid w:val="73F87045"/>
    <w:rsid w:val="79683176"/>
    <w:rsid w:val="79915775"/>
    <w:rsid w:val="7AD53B92"/>
    <w:rsid w:val="7C44718E"/>
    <w:rsid w:val="7D21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1"/>
    <w:pPr>
      <w:autoSpaceDE w:val="0"/>
      <w:autoSpaceDN w:val="0"/>
      <w:spacing w:line="732" w:lineRule="exact"/>
      <w:ind w:left="540" w:right="540"/>
      <w:jc w:val="center"/>
      <w:outlineLvl w:val="0"/>
    </w:pPr>
    <w:rPr>
      <w:rFonts w:ascii="Microsoft JhengHei" w:hAnsi="Microsoft JhengHei" w:eastAsia="Microsoft JhengHei" w:cs="Microsoft JhengHei"/>
      <w:b/>
      <w:bCs/>
      <w:kern w:val="0"/>
      <w:sz w:val="48"/>
      <w:szCs w:val="48"/>
      <w:lang w:val="zh-CN" w:bidi="zh-CN"/>
    </w:rPr>
  </w:style>
  <w:style w:type="paragraph" w:styleId="3">
    <w:name w:val="heading 3"/>
    <w:basedOn w:val="1"/>
    <w:next w:val="1"/>
    <w:link w:val="25"/>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link w:val="2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link w:val="26"/>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link w:val="23"/>
    <w:qFormat/>
    <w:uiPriority w:val="99"/>
    <w:rPr>
      <w:rFonts w:ascii="宋体" w:eastAsia="仿宋_GB2312"/>
      <w:szCs w:val="20"/>
    </w:rPr>
  </w:style>
  <w:style w:type="paragraph" w:styleId="7">
    <w:name w:val="Body Text"/>
    <w:basedOn w:val="1"/>
    <w:link w:val="21"/>
    <w:qFormat/>
    <w:uiPriority w:val="1"/>
    <w:pPr>
      <w:autoSpaceDE w:val="0"/>
      <w:autoSpaceDN w:val="0"/>
      <w:jc w:val="left"/>
    </w:pPr>
    <w:rPr>
      <w:rFonts w:ascii="宋体" w:hAnsi="宋体" w:cs="宋体"/>
      <w:kern w:val="0"/>
      <w:szCs w:val="21"/>
      <w:lang w:val="zh-CN" w:bidi="zh-CN"/>
    </w:rPr>
  </w:style>
  <w:style w:type="paragraph" w:styleId="8">
    <w:name w:val="Plain Text"/>
    <w:basedOn w:val="1"/>
    <w:link w:val="29"/>
    <w:qFormat/>
    <w:uiPriority w:val="0"/>
    <w:rPr>
      <w:rFonts w:ascii="宋体" w:hAnsi="Courier New" w:cs="Courier New"/>
      <w:szCs w:val="21"/>
    </w:rPr>
  </w:style>
  <w:style w:type="paragraph" w:styleId="9">
    <w:name w:val="Date"/>
    <w:basedOn w:val="1"/>
    <w:next w:val="1"/>
    <w:link w:val="19"/>
    <w:unhideWhenUsed/>
    <w:qFormat/>
    <w:uiPriority w:val="99"/>
    <w:pPr>
      <w:ind w:left="100" w:leftChars="2500"/>
    </w:pPr>
  </w:style>
  <w:style w:type="paragraph" w:styleId="10">
    <w:name w:val="Balloon Text"/>
    <w:basedOn w:val="1"/>
    <w:link w:val="31"/>
    <w:semiHidden/>
    <w:unhideWhenUsed/>
    <w:qFormat/>
    <w:uiPriority w:val="99"/>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100" w:beforeAutospacing="1" w:after="100" w:afterAutospacing="1"/>
      <w:jc w:val="left"/>
    </w:pPr>
    <w:rPr>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日期 Char"/>
    <w:basedOn w:val="16"/>
    <w:link w:val="9"/>
    <w:semiHidden/>
    <w:qFormat/>
    <w:uiPriority w:val="99"/>
    <w:rPr>
      <w:kern w:val="2"/>
      <w:sz w:val="21"/>
      <w:szCs w:val="24"/>
    </w:rPr>
  </w:style>
  <w:style w:type="character" w:customStyle="1" w:styleId="20">
    <w:name w:val="标题 1 Char"/>
    <w:basedOn w:val="16"/>
    <w:link w:val="2"/>
    <w:qFormat/>
    <w:uiPriority w:val="1"/>
    <w:rPr>
      <w:rFonts w:ascii="Microsoft JhengHei" w:hAnsi="Microsoft JhengHei" w:eastAsia="Microsoft JhengHei" w:cs="Microsoft JhengHei"/>
      <w:b/>
      <w:bCs/>
      <w:sz w:val="48"/>
      <w:szCs w:val="48"/>
      <w:lang w:val="zh-CN" w:bidi="zh-CN"/>
    </w:rPr>
  </w:style>
  <w:style w:type="character" w:customStyle="1" w:styleId="21">
    <w:name w:val="正文文本 Char"/>
    <w:basedOn w:val="16"/>
    <w:link w:val="7"/>
    <w:qFormat/>
    <w:uiPriority w:val="1"/>
    <w:rPr>
      <w:rFonts w:ascii="宋体" w:hAnsi="宋体" w:cs="宋体"/>
      <w:sz w:val="21"/>
      <w:szCs w:val="21"/>
      <w:lang w:val="zh-CN" w:bidi="zh-CN"/>
    </w:rPr>
  </w:style>
  <w:style w:type="paragraph" w:styleId="22">
    <w:name w:val="List Paragraph"/>
    <w:basedOn w:val="1"/>
    <w:qFormat/>
    <w:uiPriority w:val="99"/>
    <w:pPr>
      <w:autoSpaceDE w:val="0"/>
      <w:autoSpaceDN w:val="0"/>
      <w:ind w:left="108" w:firstLine="420"/>
      <w:jc w:val="left"/>
    </w:pPr>
    <w:rPr>
      <w:rFonts w:ascii="宋体" w:hAnsi="宋体" w:cs="宋体"/>
      <w:kern w:val="0"/>
      <w:sz w:val="22"/>
      <w:szCs w:val="22"/>
      <w:lang w:val="zh-CN" w:bidi="zh-CN"/>
    </w:rPr>
  </w:style>
  <w:style w:type="character" w:customStyle="1" w:styleId="23">
    <w:name w:val="称呼 Char"/>
    <w:basedOn w:val="16"/>
    <w:link w:val="6"/>
    <w:qFormat/>
    <w:uiPriority w:val="99"/>
    <w:rPr>
      <w:rFonts w:ascii="宋体" w:eastAsia="仿宋_GB2312"/>
      <w:kern w:val="2"/>
      <w:sz w:val="21"/>
    </w:rPr>
  </w:style>
  <w:style w:type="paragraph" w:customStyle="1" w:styleId="24">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5">
    <w:name w:val="标题 3 Char"/>
    <w:basedOn w:val="16"/>
    <w:link w:val="3"/>
    <w:semiHidden/>
    <w:qFormat/>
    <w:uiPriority w:val="0"/>
    <w:rPr>
      <w:b/>
      <w:bCs/>
      <w:kern w:val="2"/>
      <w:sz w:val="32"/>
      <w:szCs w:val="32"/>
    </w:rPr>
  </w:style>
  <w:style w:type="character" w:customStyle="1" w:styleId="26">
    <w:name w:val="标题 6 Char"/>
    <w:basedOn w:val="16"/>
    <w:link w:val="5"/>
    <w:semiHidden/>
    <w:qFormat/>
    <w:uiPriority w:val="0"/>
    <w:rPr>
      <w:rFonts w:asciiTheme="majorHAnsi" w:hAnsiTheme="majorHAnsi" w:eastAsiaTheme="majorEastAsia" w:cstheme="majorBidi"/>
      <w:b/>
      <w:bCs/>
      <w:kern w:val="2"/>
      <w:sz w:val="24"/>
      <w:szCs w:val="24"/>
    </w:rPr>
  </w:style>
  <w:style w:type="character" w:customStyle="1" w:styleId="27">
    <w:name w:val="标题 4 Char"/>
    <w:basedOn w:val="16"/>
    <w:link w:val="4"/>
    <w:semiHidden/>
    <w:qFormat/>
    <w:uiPriority w:val="0"/>
    <w:rPr>
      <w:rFonts w:asciiTheme="majorHAnsi" w:hAnsiTheme="majorHAnsi" w:eastAsiaTheme="majorEastAsia" w:cstheme="majorBidi"/>
      <w:b/>
      <w:bCs/>
      <w:kern w:val="2"/>
      <w:sz w:val="28"/>
      <w:szCs w:val="28"/>
    </w:rPr>
  </w:style>
  <w:style w:type="paragraph" w:customStyle="1" w:styleId="28">
    <w:name w:val="Char1 Char Char Char Char Char Char Char Char1 Char Char Char"/>
    <w:basedOn w:val="1"/>
    <w:qFormat/>
    <w:uiPriority w:val="0"/>
    <w:pPr>
      <w:snapToGrid w:val="0"/>
      <w:spacing w:line="360" w:lineRule="auto"/>
      <w:ind w:firstLine="200" w:firstLineChars="200"/>
    </w:pPr>
    <w:rPr>
      <w:rFonts w:ascii="宋体" w:hAnsi="宋体" w:eastAsia="Times New Roman"/>
      <w:kern w:val="0"/>
      <w:sz w:val="24"/>
      <w:szCs w:val="20"/>
    </w:rPr>
  </w:style>
  <w:style w:type="character" w:customStyle="1" w:styleId="29">
    <w:name w:val="纯文本 Char"/>
    <w:link w:val="8"/>
    <w:qFormat/>
    <w:locked/>
    <w:uiPriority w:val="0"/>
    <w:rPr>
      <w:rFonts w:ascii="宋体" w:hAnsi="Courier New" w:cs="Courier New"/>
      <w:kern w:val="2"/>
      <w:sz w:val="21"/>
      <w:szCs w:val="21"/>
    </w:rPr>
  </w:style>
  <w:style w:type="character" w:customStyle="1" w:styleId="30">
    <w:name w:val="纯文本 Char1"/>
    <w:basedOn w:val="16"/>
    <w:semiHidden/>
    <w:qFormat/>
    <w:uiPriority w:val="99"/>
    <w:rPr>
      <w:rFonts w:ascii="宋体" w:hAnsi="Courier New" w:cs="Courier New"/>
      <w:kern w:val="2"/>
      <w:sz w:val="21"/>
      <w:szCs w:val="21"/>
    </w:rPr>
  </w:style>
  <w:style w:type="character" w:customStyle="1" w:styleId="31">
    <w:name w:val="批注框文本 Char"/>
    <w:basedOn w:val="16"/>
    <w:link w:val="10"/>
    <w:semiHidden/>
    <w:qFormat/>
    <w:uiPriority w:val="99"/>
    <w:rPr>
      <w:kern w:val="2"/>
      <w:sz w:val="18"/>
      <w:szCs w:val="18"/>
    </w:rPr>
  </w:style>
  <w:style w:type="character" w:customStyle="1" w:styleId="32">
    <w:name w:val="font61"/>
    <w:basedOn w:val="16"/>
    <w:qFormat/>
    <w:uiPriority w:val="0"/>
    <w:rPr>
      <w:rFonts w:hint="eastAsia" w:ascii="等线" w:hAnsi="等线" w:eastAsia="等线" w:cs="等线"/>
      <w:color w:val="000000"/>
      <w:sz w:val="22"/>
      <w:szCs w:val="22"/>
      <w:u w:val="none"/>
    </w:rPr>
  </w:style>
  <w:style w:type="character" w:customStyle="1" w:styleId="33">
    <w:name w:val="font71"/>
    <w:basedOn w:val="16"/>
    <w:qFormat/>
    <w:uiPriority w:val="0"/>
    <w:rPr>
      <w:rFonts w:hint="eastAsia" w:ascii="等线" w:hAnsi="等线" w:eastAsia="等线" w:cs="等线"/>
      <w:color w:val="000000"/>
      <w:sz w:val="22"/>
      <w:szCs w:val="22"/>
      <w:u w:val="none"/>
    </w:rPr>
  </w:style>
  <w:style w:type="character" w:customStyle="1" w:styleId="34">
    <w:name w:val="14normal1"/>
    <w:qFormat/>
    <w:uiPriority w:val="0"/>
    <w:rPr>
      <w:rFonts w:hint="eastAsia" w:ascii="宋体" w:hAnsi="宋体" w:eastAsia="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383CD-17A3-45F4-A464-DA53C2F02256}">
  <ds:schemaRefs/>
</ds:datastoreItem>
</file>

<file path=docProps/app.xml><?xml version="1.0" encoding="utf-8"?>
<Properties xmlns="http://schemas.openxmlformats.org/officeDocument/2006/extended-properties" xmlns:vt="http://schemas.openxmlformats.org/officeDocument/2006/docPropsVTypes">
  <Template>Normal</Template>
  <Company>XLYH</Company>
  <Pages>30</Pages>
  <Words>7094</Words>
  <Characters>7248</Characters>
  <Lines>99</Lines>
  <Paragraphs>28</Paragraphs>
  <TotalTime>3940</TotalTime>
  <ScaleCrop>false</ScaleCrop>
  <LinksUpToDate>false</LinksUpToDate>
  <CharactersWithSpaces>8291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2019-10-11T02:47:00Z</dcterms:created>
  <dc:creator>KGB</dc:creator>
  <cp:lastModifiedBy>谭永恒</cp:lastModifiedBy>
  <cp:lastPrinted>2019-12-17T03:39:00Z</cp:lastPrinted>
  <dcterms:modified xsi:type="dcterms:W3CDTF">2024-12-09T01:44:47Z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5C9459D3CA2A4F3BB9972231082BC168_13</vt:lpwstr>
  </property>
</Properties>
</file>